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D9F2" w14:textId="77777777" w:rsidR="004209DA" w:rsidRDefault="00000000">
      <w:pPr>
        <w:pStyle w:val="Corpsdetexte"/>
        <w:ind w:left="370"/>
        <w:rPr>
          <w:rFonts w:ascii="Times New Roman"/>
          <w:sz w:val="20"/>
        </w:rPr>
      </w:pPr>
      <w:r>
        <w:rPr>
          <w:rFonts w:ascii="Times New Roman"/>
          <w:noProof/>
          <w:sz w:val="20"/>
        </w:rPr>
        <w:drawing>
          <wp:inline distT="0" distB="0" distL="0" distR="0" wp14:anchorId="01D8B6D7" wp14:editId="71EB08AE">
            <wp:extent cx="5454748" cy="1175480"/>
            <wp:effectExtent l="0" t="0" r="0" b="0"/>
            <wp:docPr id="1" name="Image 1" descr="Une image contenant texte  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texte  Description générée automatiquement"/>
                    <pic:cNvPicPr/>
                  </pic:nvPicPr>
                  <pic:blipFill>
                    <a:blip r:embed="rId8" cstate="print"/>
                    <a:stretch>
                      <a:fillRect/>
                    </a:stretch>
                  </pic:blipFill>
                  <pic:spPr>
                    <a:xfrm>
                      <a:off x="0" y="0"/>
                      <a:ext cx="5454748" cy="1175480"/>
                    </a:xfrm>
                    <a:prstGeom prst="rect">
                      <a:avLst/>
                    </a:prstGeom>
                  </pic:spPr>
                </pic:pic>
              </a:graphicData>
            </a:graphic>
          </wp:inline>
        </w:drawing>
      </w:r>
    </w:p>
    <w:p w14:paraId="59387C9D" w14:textId="77777777" w:rsidR="000B6291" w:rsidRDefault="00000000" w:rsidP="000B6291">
      <w:pPr>
        <w:pStyle w:val="Titre"/>
        <w:rPr>
          <w:color w:val="FF0000"/>
          <w:spacing w:val="-4"/>
        </w:rPr>
      </w:pPr>
      <w:r>
        <w:rPr>
          <w:color w:val="FF0000"/>
          <w:spacing w:val="-4"/>
        </w:rPr>
        <w:t>XX</w:t>
      </w:r>
      <w:r w:rsidR="00401D98">
        <w:rPr>
          <w:color w:val="FF0000"/>
          <w:spacing w:val="-4"/>
        </w:rPr>
        <w:t>I</w:t>
      </w:r>
      <w:r w:rsidR="00EF76F4">
        <w:rPr>
          <w:color w:val="FF0000"/>
          <w:spacing w:val="-4"/>
        </w:rPr>
        <w:t>I</w:t>
      </w:r>
      <w:r>
        <w:rPr>
          <w:color w:val="FF0000"/>
          <w:spacing w:val="-4"/>
        </w:rPr>
        <w:t>ème</w:t>
      </w:r>
      <w:r>
        <w:rPr>
          <w:color w:val="FF0000"/>
          <w:spacing w:val="-19"/>
        </w:rPr>
        <w:t xml:space="preserve"> </w:t>
      </w:r>
      <w:r>
        <w:rPr>
          <w:color w:val="FF0000"/>
          <w:spacing w:val="-4"/>
        </w:rPr>
        <w:t>congrès</w:t>
      </w:r>
      <w:r>
        <w:rPr>
          <w:color w:val="FF0000"/>
          <w:spacing w:val="-14"/>
        </w:rPr>
        <w:t xml:space="preserve"> </w:t>
      </w:r>
      <w:r>
        <w:rPr>
          <w:color w:val="FF0000"/>
          <w:spacing w:val="-4"/>
        </w:rPr>
        <w:t>du</w:t>
      </w:r>
      <w:r>
        <w:rPr>
          <w:color w:val="FF0000"/>
          <w:spacing w:val="-17"/>
        </w:rPr>
        <w:t xml:space="preserve"> </w:t>
      </w:r>
      <w:r>
        <w:rPr>
          <w:color w:val="FF0000"/>
          <w:spacing w:val="-4"/>
        </w:rPr>
        <w:t>SNFOCOS</w:t>
      </w:r>
      <w:r w:rsidR="000B6291">
        <w:rPr>
          <w:color w:val="FF0000"/>
          <w:spacing w:val="-4"/>
        </w:rPr>
        <w:t xml:space="preserve">  </w:t>
      </w:r>
    </w:p>
    <w:p w14:paraId="090B09D8" w14:textId="42365815" w:rsidR="004209DA" w:rsidRDefault="00000000" w:rsidP="000F5BA7">
      <w:pPr>
        <w:ind w:left="5"/>
        <w:jc w:val="center"/>
        <w:rPr>
          <w:rFonts w:ascii="Calibri Light" w:hAnsi="Calibri Light"/>
          <w:sz w:val="36"/>
        </w:rPr>
      </w:pPr>
      <w:r>
        <w:rPr>
          <w:rFonts w:ascii="Calibri Light" w:hAnsi="Calibri Light"/>
          <w:color w:val="5B9BD3"/>
          <w:spacing w:val="-2"/>
          <w:sz w:val="36"/>
        </w:rPr>
        <w:t>Résolution</w:t>
      </w:r>
      <w:r w:rsidR="00EF76F4">
        <w:rPr>
          <w:rFonts w:ascii="Calibri Light" w:hAnsi="Calibri Light"/>
          <w:color w:val="5B9BD3"/>
          <w:spacing w:val="-2"/>
          <w:sz w:val="36"/>
        </w:rPr>
        <w:t xml:space="preserve"> </w:t>
      </w:r>
      <w:r>
        <w:rPr>
          <w:rFonts w:ascii="Calibri Light" w:hAnsi="Calibri Light"/>
          <w:color w:val="5B9BD3"/>
          <w:spacing w:val="-2"/>
          <w:sz w:val="36"/>
        </w:rPr>
        <w:t>Commission</w:t>
      </w:r>
      <w:r>
        <w:rPr>
          <w:rFonts w:ascii="Calibri Light" w:hAnsi="Calibri Light"/>
          <w:color w:val="5B9BD3"/>
          <w:spacing w:val="-17"/>
          <w:sz w:val="36"/>
        </w:rPr>
        <w:t xml:space="preserve"> </w:t>
      </w:r>
      <w:r>
        <w:rPr>
          <w:rFonts w:ascii="Calibri Light" w:hAnsi="Calibri Light"/>
          <w:color w:val="5B9BD3"/>
          <w:spacing w:val="-2"/>
          <w:sz w:val="36"/>
        </w:rPr>
        <w:t>Permanente</w:t>
      </w:r>
      <w:r>
        <w:rPr>
          <w:rFonts w:ascii="Calibri Light" w:hAnsi="Calibri Light"/>
          <w:color w:val="5B9BD3"/>
          <w:spacing w:val="-18"/>
          <w:sz w:val="36"/>
        </w:rPr>
        <w:t xml:space="preserve"> </w:t>
      </w:r>
      <w:r>
        <w:rPr>
          <w:rFonts w:ascii="Calibri Light" w:hAnsi="Calibri Light"/>
          <w:color w:val="5B9BD3"/>
          <w:spacing w:val="-2"/>
          <w:sz w:val="36"/>
        </w:rPr>
        <w:t>Professionnelle</w:t>
      </w:r>
      <w:r>
        <w:rPr>
          <w:rFonts w:ascii="Calibri Light" w:hAnsi="Calibri Light"/>
          <w:color w:val="5B9BD3"/>
          <w:spacing w:val="-4"/>
          <w:sz w:val="36"/>
        </w:rPr>
        <w:t xml:space="preserve"> </w:t>
      </w:r>
      <w:r>
        <w:rPr>
          <w:rFonts w:ascii="Calibri Light" w:hAnsi="Calibri Light"/>
          <w:color w:val="5B9BD3"/>
          <w:spacing w:val="-2"/>
          <w:sz w:val="36"/>
        </w:rPr>
        <w:t>des ACERC</w:t>
      </w:r>
    </w:p>
    <w:p w14:paraId="48CB06FD" w14:textId="77777777" w:rsidR="009D0F9F" w:rsidRDefault="009D0F9F" w:rsidP="00935C1B">
      <w:pPr>
        <w:pStyle w:val="Corpsdetexte"/>
        <w:jc w:val="both"/>
        <w:rPr>
          <w:color w:val="006EC0"/>
          <w:sz w:val="22"/>
          <w:szCs w:val="22"/>
          <w:u w:val="single"/>
        </w:rPr>
      </w:pPr>
    </w:p>
    <w:p w14:paraId="238D7AD8" w14:textId="4484116B" w:rsidR="00701180" w:rsidRPr="00701180" w:rsidRDefault="00701180" w:rsidP="00935C1B">
      <w:pPr>
        <w:pStyle w:val="Corpsdetexte"/>
        <w:jc w:val="both"/>
        <w:rPr>
          <w:color w:val="006EC0"/>
          <w:sz w:val="22"/>
          <w:szCs w:val="22"/>
        </w:rPr>
      </w:pPr>
      <w:r w:rsidRPr="00701180">
        <w:rPr>
          <w:color w:val="006EC0"/>
          <w:sz w:val="22"/>
          <w:szCs w:val="22"/>
        </w:rPr>
        <w:t>Malgré les alertes réitérées du Snfocos quant à la dégradation générale des conditions de travail, à l’augmentation des missions et de la charge de travail, sans octroi des moyens nécessaires et sans contrepartie financière, les difficultés des Inspecteurs du Recouvrement, maintes fois mises en exergue, ne sont toujours pas prises en compte par l’Urssaf Caisse Nationale et l’Ucanss.</w:t>
      </w:r>
    </w:p>
    <w:p w14:paraId="70744183" w14:textId="77777777" w:rsidR="00701180" w:rsidRDefault="00701180" w:rsidP="00935C1B">
      <w:pPr>
        <w:pStyle w:val="Corpsdetexte"/>
        <w:jc w:val="both"/>
        <w:rPr>
          <w:b/>
          <w:bCs/>
          <w:color w:val="006EC0"/>
          <w:sz w:val="22"/>
          <w:szCs w:val="22"/>
        </w:rPr>
      </w:pPr>
    </w:p>
    <w:p w14:paraId="0785669C" w14:textId="78C6749A" w:rsidR="004209DA" w:rsidRPr="009D0F9F" w:rsidRDefault="0052297E" w:rsidP="00935C1B">
      <w:pPr>
        <w:pStyle w:val="Corpsdetexte"/>
        <w:jc w:val="both"/>
        <w:rPr>
          <w:b/>
          <w:bCs/>
          <w:color w:val="006EC0"/>
          <w:sz w:val="22"/>
          <w:szCs w:val="22"/>
        </w:rPr>
      </w:pPr>
      <w:r>
        <w:rPr>
          <w:b/>
          <w:bCs/>
          <w:color w:val="006EC0"/>
          <w:sz w:val="22"/>
          <w:szCs w:val="22"/>
        </w:rPr>
        <w:t>C’est pourquoi, l</w:t>
      </w:r>
      <w:r w:rsidRPr="009D0F9F">
        <w:rPr>
          <w:b/>
          <w:bCs/>
          <w:color w:val="006EC0"/>
          <w:sz w:val="22"/>
          <w:szCs w:val="22"/>
        </w:rPr>
        <w:t>a Commission Permanente Professionnelle des ACERC</w:t>
      </w:r>
      <w:r>
        <w:rPr>
          <w:b/>
          <w:bCs/>
          <w:color w:val="006EC0"/>
          <w:sz w:val="22"/>
          <w:szCs w:val="22"/>
        </w:rPr>
        <w:t xml:space="preserve"> </w:t>
      </w:r>
      <w:r w:rsidRPr="009D0F9F">
        <w:rPr>
          <w:b/>
          <w:bCs/>
          <w:color w:val="006EC0"/>
          <w:sz w:val="22"/>
          <w:szCs w:val="22"/>
        </w:rPr>
        <w:t>revendique :</w:t>
      </w:r>
    </w:p>
    <w:p w14:paraId="23BE188F" w14:textId="77777777" w:rsidR="004209DA" w:rsidRPr="00EF76F4" w:rsidRDefault="004209DA" w:rsidP="00935C1B">
      <w:pPr>
        <w:pStyle w:val="Corpsdetexte"/>
        <w:rPr>
          <w:sz w:val="22"/>
          <w:szCs w:val="22"/>
        </w:rPr>
      </w:pPr>
    </w:p>
    <w:p w14:paraId="00D5D01E" w14:textId="7C5B50BE" w:rsidR="00901558" w:rsidRPr="00514FC9" w:rsidRDefault="00901558" w:rsidP="009D0F9F">
      <w:pPr>
        <w:pStyle w:val="Paragraphedeliste"/>
        <w:numPr>
          <w:ilvl w:val="0"/>
          <w:numId w:val="1"/>
        </w:numPr>
        <w:tabs>
          <w:tab w:val="left" w:pos="836"/>
        </w:tabs>
        <w:spacing w:after="160"/>
        <w:ind w:left="476" w:right="119"/>
        <w:rPr>
          <w:color w:val="006EC0"/>
        </w:rPr>
      </w:pPr>
      <w:r w:rsidRPr="00901558">
        <w:rPr>
          <w:color w:val="006EC0"/>
        </w:rPr>
        <w:t xml:space="preserve">L’attribution </w:t>
      </w:r>
      <w:r w:rsidR="0052297E">
        <w:rPr>
          <w:color w:val="006EC0"/>
        </w:rPr>
        <w:t xml:space="preserve">automatique </w:t>
      </w:r>
      <w:r w:rsidRPr="00901558">
        <w:rPr>
          <w:color w:val="006EC0"/>
        </w:rPr>
        <w:t>du niveau 7 pour l'ensemble des inspecteurs du recouvrement au</w:t>
      </w:r>
      <w:r w:rsidRPr="00901558">
        <w:rPr>
          <w:color w:val="006EC0"/>
          <w:spacing w:val="-12"/>
        </w:rPr>
        <w:t xml:space="preserve"> </w:t>
      </w:r>
      <w:r w:rsidRPr="00901558">
        <w:rPr>
          <w:color w:val="006EC0"/>
        </w:rPr>
        <w:t>bout</w:t>
      </w:r>
      <w:r w:rsidRPr="00901558">
        <w:rPr>
          <w:color w:val="006EC0"/>
          <w:spacing w:val="-12"/>
        </w:rPr>
        <w:t xml:space="preserve"> </w:t>
      </w:r>
      <w:r w:rsidRPr="00901558">
        <w:rPr>
          <w:color w:val="006EC0"/>
        </w:rPr>
        <w:t>de</w:t>
      </w:r>
      <w:r w:rsidRPr="00901558">
        <w:rPr>
          <w:color w:val="006EC0"/>
          <w:spacing w:val="-12"/>
        </w:rPr>
        <w:t xml:space="preserve"> </w:t>
      </w:r>
      <w:r w:rsidRPr="00514FC9">
        <w:rPr>
          <w:color w:val="006EC0"/>
        </w:rPr>
        <w:t>quatre</w:t>
      </w:r>
      <w:r w:rsidRPr="00514FC9">
        <w:rPr>
          <w:color w:val="006EC0"/>
          <w:spacing w:val="-12"/>
        </w:rPr>
        <w:t xml:space="preserve"> </w:t>
      </w:r>
      <w:r w:rsidRPr="00514FC9">
        <w:rPr>
          <w:color w:val="006EC0"/>
        </w:rPr>
        <w:t xml:space="preserve">ans </w:t>
      </w:r>
    </w:p>
    <w:p w14:paraId="081D247D" w14:textId="49C6CAEB" w:rsidR="0060005F" w:rsidRPr="00701180" w:rsidRDefault="0060005F" w:rsidP="0060005F">
      <w:pPr>
        <w:pStyle w:val="Paragraphedeliste"/>
        <w:numPr>
          <w:ilvl w:val="0"/>
          <w:numId w:val="1"/>
        </w:numPr>
        <w:tabs>
          <w:tab w:val="left" w:pos="836"/>
        </w:tabs>
        <w:spacing w:after="160"/>
        <w:ind w:left="476" w:right="119"/>
      </w:pPr>
      <w:r w:rsidRPr="00701180">
        <w:rPr>
          <w:color w:val="006EC0"/>
        </w:rPr>
        <w:t>La création d’une prime pérenne « nouveaux champs de contrôle » pour répondre à</w:t>
      </w:r>
      <w:r w:rsidRPr="00901558">
        <w:rPr>
          <w:color w:val="006EC0"/>
        </w:rPr>
        <w:t xml:space="preserve"> l’accroissement des missions et des compétences requises pour l’exercice du métier CCA et LCTI</w:t>
      </w:r>
      <w:r w:rsidR="00701180">
        <w:rPr>
          <w:color w:val="006EC0"/>
        </w:rPr>
        <w:t xml:space="preserve">. </w:t>
      </w:r>
      <w:r w:rsidR="00701180" w:rsidRPr="00701180">
        <w:rPr>
          <w:color w:val="006EC0"/>
        </w:rPr>
        <w:t>C</w:t>
      </w:r>
      <w:r w:rsidRPr="00701180">
        <w:rPr>
          <w:color w:val="006EC0"/>
        </w:rPr>
        <w:t xml:space="preserve">es travaux </w:t>
      </w:r>
      <w:r w:rsidR="00701180" w:rsidRPr="00701180">
        <w:rPr>
          <w:color w:val="006EC0"/>
        </w:rPr>
        <w:t xml:space="preserve">étant de plus </w:t>
      </w:r>
      <w:r w:rsidRPr="00701180">
        <w:rPr>
          <w:color w:val="006EC0"/>
        </w:rPr>
        <w:t>facturés par la Caisse Nationale, la Commission exige qu'une juste part de cette rémunération soit rétrocédée aux inspecteurs par l'attribution de points supplémentaires</w:t>
      </w:r>
    </w:p>
    <w:p w14:paraId="182EDDB5" w14:textId="77777777" w:rsidR="00E842A0" w:rsidRPr="00E842A0" w:rsidRDefault="0060005F" w:rsidP="00E842A0">
      <w:pPr>
        <w:pStyle w:val="Paragraphedeliste"/>
        <w:numPr>
          <w:ilvl w:val="0"/>
          <w:numId w:val="1"/>
        </w:numPr>
        <w:tabs>
          <w:tab w:val="left" w:pos="836"/>
        </w:tabs>
        <w:spacing w:after="160"/>
        <w:ind w:left="476" w:right="119"/>
      </w:pPr>
      <w:r w:rsidRPr="00901558">
        <w:rPr>
          <w:color w:val="006EC0"/>
        </w:rPr>
        <w:t xml:space="preserve">L’intégration de tous les inspecteurs dans la liste des bénéficiaires de l’article 23 </w:t>
      </w:r>
      <w:r w:rsidR="00701180">
        <w:rPr>
          <w:color w:val="006EC0"/>
        </w:rPr>
        <w:t xml:space="preserve">de la CCN </w:t>
      </w:r>
      <w:r w:rsidRPr="00901558">
        <w:rPr>
          <w:color w:val="006EC0"/>
        </w:rPr>
        <w:t>relatif aux primes de fonction</w:t>
      </w:r>
    </w:p>
    <w:p w14:paraId="3127DF4C" w14:textId="39A7B528" w:rsidR="00762A7E" w:rsidRPr="002A7554" w:rsidRDefault="00901558" w:rsidP="00E842A0">
      <w:pPr>
        <w:pStyle w:val="Paragraphedeliste"/>
        <w:numPr>
          <w:ilvl w:val="0"/>
          <w:numId w:val="1"/>
        </w:numPr>
        <w:tabs>
          <w:tab w:val="left" w:pos="836"/>
        </w:tabs>
        <w:spacing w:after="160"/>
        <w:ind w:left="476" w:right="119"/>
      </w:pPr>
      <w:r w:rsidRPr="002A7554">
        <w:rPr>
          <w:color w:val="006EC0"/>
        </w:rPr>
        <w:t>U</w:t>
      </w:r>
      <w:r w:rsidR="00EF76F4" w:rsidRPr="002A7554">
        <w:rPr>
          <w:color w:val="006EC0"/>
        </w:rPr>
        <w:t>ne</w:t>
      </w:r>
      <w:r w:rsidR="00EF76F4" w:rsidRPr="002A7554">
        <w:rPr>
          <w:color w:val="006EC0"/>
          <w:spacing w:val="-11"/>
        </w:rPr>
        <w:t xml:space="preserve"> </w:t>
      </w:r>
      <w:r w:rsidR="00E842A0" w:rsidRPr="002A7554">
        <w:rPr>
          <w:color w:val="006EC0"/>
          <w:spacing w:val="-11"/>
        </w:rPr>
        <w:t xml:space="preserve">réelle </w:t>
      </w:r>
      <w:r w:rsidR="00EF76F4" w:rsidRPr="002A7554">
        <w:rPr>
          <w:color w:val="006EC0"/>
        </w:rPr>
        <w:t>progression</w:t>
      </w:r>
      <w:r w:rsidR="00EF76F4" w:rsidRPr="002A7554">
        <w:rPr>
          <w:color w:val="006EC0"/>
          <w:spacing w:val="-12"/>
        </w:rPr>
        <w:t xml:space="preserve"> </w:t>
      </w:r>
      <w:r w:rsidR="00EF76F4" w:rsidRPr="002A7554">
        <w:rPr>
          <w:color w:val="006EC0"/>
        </w:rPr>
        <w:t>professionnelle</w:t>
      </w:r>
      <w:r w:rsidR="00EF76F4" w:rsidRPr="002A7554">
        <w:rPr>
          <w:color w:val="006EC0"/>
          <w:spacing w:val="-12"/>
        </w:rPr>
        <w:t xml:space="preserve"> métier </w:t>
      </w:r>
      <w:r w:rsidR="00EF76F4" w:rsidRPr="002A7554">
        <w:rPr>
          <w:color w:val="006EC0"/>
        </w:rPr>
        <w:t>vers</w:t>
      </w:r>
      <w:r w:rsidR="00EF76F4" w:rsidRPr="002A7554">
        <w:rPr>
          <w:color w:val="006EC0"/>
          <w:spacing w:val="-12"/>
        </w:rPr>
        <w:t xml:space="preserve"> </w:t>
      </w:r>
      <w:r w:rsidR="00EF76F4" w:rsidRPr="002A7554">
        <w:rPr>
          <w:color w:val="006EC0"/>
        </w:rPr>
        <w:t>le</w:t>
      </w:r>
      <w:r w:rsidR="00EF76F4" w:rsidRPr="002A7554">
        <w:rPr>
          <w:color w:val="006EC0"/>
          <w:spacing w:val="-12"/>
        </w:rPr>
        <w:t xml:space="preserve"> </w:t>
      </w:r>
      <w:r w:rsidR="00EF76F4" w:rsidRPr="002A7554">
        <w:rPr>
          <w:color w:val="006EC0"/>
        </w:rPr>
        <w:t>niveau</w:t>
      </w:r>
      <w:r w:rsidR="00EF76F4" w:rsidRPr="002A7554">
        <w:rPr>
          <w:color w:val="006EC0"/>
          <w:spacing w:val="-12"/>
        </w:rPr>
        <w:t xml:space="preserve"> </w:t>
      </w:r>
      <w:r w:rsidR="00EF76F4" w:rsidRPr="002A7554">
        <w:rPr>
          <w:color w:val="006EC0"/>
        </w:rPr>
        <w:t>8</w:t>
      </w:r>
      <w:r w:rsidR="00EF76F4" w:rsidRPr="002A7554">
        <w:rPr>
          <w:color w:val="006EC0"/>
          <w:spacing w:val="-12"/>
        </w:rPr>
        <w:t xml:space="preserve"> </w:t>
      </w:r>
      <w:r w:rsidR="00EF76F4" w:rsidRPr="002A7554">
        <w:rPr>
          <w:color w:val="006EC0"/>
        </w:rPr>
        <w:t>sans fonctions managériales</w:t>
      </w:r>
      <w:r w:rsidR="00E842A0" w:rsidRPr="002A7554">
        <w:rPr>
          <w:color w:val="006EC0"/>
        </w:rPr>
        <w:t xml:space="preserve"> et nationales</w:t>
      </w:r>
      <w:r w:rsidR="00E5366B" w:rsidRPr="002A7554">
        <w:rPr>
          <w:color w:val="006EC0"/>
        </w:rPr>
        <w:t xml:space="preserve"> et accessibles de façon équitable à tous les inspecteurs</w:t>
      </w:r>
      <w:r w:rsidR="00762A7E" w:rsidRPr="002A7554">
        <w:rPr>
          <w:color w:val="006EC0"/>
        </w:rPr>
        <w:t xml:space="preserve">. </w:t>
      </w:r>
    </w:p>
    <w:p w14:paraId="228BF6CB" w14:textId="689E07CE" w:rsidR="00385CBC" w:rsidRPr="00901558" w:rsidRDefault="00385CBC" w:rsidP="009D0F9F">
      <w:pPr>
        <w:pStyle w:val="Paragraphedeliste"/>
        <w:numPr>
          <w:ilvl w:val="0"/>
          <w:numId w:val="1"/>
        </w:numPr>
        <w:tabs>
          <w:tab w:val="left" w:pos="836"/>
        </w:tabs>
        <w:spacing w:after="160"/>
        <w:ind w:left="476" w:right="119"/>
        <w:rPr>
          <w:color w:val="006EC0"/>
        </w:rPr>
      </w:pPr>
      <w:r>
        <w:rPr>
          <w:color w:val="006EC0"/>
        </w:rPr>
        <w:t xml:space="preserve">La création de </w:t>
      </w:r>
      <w:r w:rsidR="00550935">
        <w:rPr>
          <w:color w:val="006EC0"/>
        </w:rPr>
        <w:t>passerelles vers d’autres métiers au sein de la branche et de l’institution, déjà demandées à de nombreuses reprises, promises par la Caisse Nationale, mais jamais créées</w:t>
      </w:r>
    </w:p>
    <w:p w14:paraId="1634CB75" w14:textId="4500F649" w:rsidR="001D0B4F" w:rsidRPr="009D0F9F" w:rsidRDefault="006263B1" w:rsidP="009D0F9F">
      <w:pPr>
        <w:pStyle w:val="Corpsdetexte"/>
        <w:spacing w:before="1" w:after="160"/>
        <w:ind w:left="116" w:right="119"/>
        <w:jc w:val="both"/>
        <w:rPr>
          <w:b/>
          <w:bCs/>
          <w:color w:val="006EC0"/>
          <w:sz w:val="22"/>
          <w:szCs w:val="22"/>
        </w:rPr>
      </w:pPr>
      <w:r w:rsidRPr="009D0F9F">
        <w:rPr>
          <w:b/>
          <w:bCs/>
          <w:color w:val="006EC0"/>
          <w:sz w:val="22"/>
          <w:szCs w:val="22"/>
        </w:rPr>
        <w:t>P</w:t>
      </w:r>
      <w:r w:rsidR="001D0B4F" w:rsidRPr="009D0F9F">
        <w:rPr>
          <w:b/>
          <w:bCs/>
          <w:color w:val="006EC0"/>
          <w:sz w:val="22"/>
          <w:szCs w:val="22"/>
        </w:rPr>
        <w:t>arce qu’il incombe à l’employeur de garantir de bonnes conditions de travail à ses salariés, la Commission Permanente Professionnelle des ACERC exige :</w:t>
      </w:r>
    </w:p>
    <w:p w14:paraId="7912633A" w14:textId="77777777" w:rsidR="00514FC9" w:rsidRPr="007D3986" w:rsidRDefault="00514FC9" w:rsidP="00514FC9">
      <w:pPr>
        <w:pStyle w:val="Paragraphedeliste"/>
        <w:numPr>
          <w:ilvl w:val="0"/>
          <w:numId w:val="1"/>
        </w:numPr>
        <w:tabs>
          <w:tab w:val="left" w:pos="836"/>
        </w:tabs>
        <w:spacing w:after="160"/>
        <w:ind w:left="476" w:right="119"/>
        <w:rPr>
          <w:color w:val="006EC0"/>
        </w:rPr>
      </w:pPr>
      <w:r>
        <w:rPr>
          <w:color w:val="006EC0"/>
        </w:rPr>
        <w:t>Le r</w:t>
      </w:r>
      <w:r w:rsidRPr="007D3986">
        <w:rPr>
          <w:color w:val="006EC0"/>
        </w:rPr>
        <w:t>etour à un management porteur de sens et basé sur la confiance</w:t>
      </w:r>
    </w:p>
    <w:p w14:paraId="45E20773" w14:textId="69226403" w:rsidR="009C0842" w:rsidRDefault="009C0842" w:rsidP="009D0F9F">
      <w:pPr>
        <w:pStyle w:val="Paragraphedeliste"/>
        <w:numPr>
          <w:ilvl w:val="0"/>
          <w:numId w:val="1"/>
        </w:numPr>
        <w:tabs>
          <w:tab w:val="left" w:pos="836"/>
        </w:tabs>
        <w:spacing w:after="160"/>
        <w:ind w:left="476" w:right="119"/>
        <w:rPr>
          <w:color w:val="006EC0"/>
        </w:rPr>
      </w:pPr>
      <w:r w:rsidRPr="009C0842">
        <w:rPr>
          <w:color w:val="006EC0"/>
        </w:rPr>
        <w:t>La mise en place de formations continues adaptées et de qualité qui ne sauraient être remplacées</w:t>
      </w:r>
      <w:r w:rsidR="00C30C00">
        <w:rPr>
          <w:color w:val="006EC0"/>
        </w:rPr>
        <w:t>,</w:t>
      </w:r>
      <w:r w:rsidRPr="009C0842">
        <w:rPr>
          <w:color w:val="006EC0"/>
        </w:rPr>
        <w:t xml:space="preserve"> comme c’est encore trop souvent le cas</w:t>
      </w:r>
      <w:r w:rsidR="00C30C00">
        <w:rPr>
          <w:color w:val="006EC0"/>
        </w:rPr>
        <w:t>,</w:t>
      </w:r>
      <w:r w:rsidRPr="009C0842">
        <w:rPr>
          <w:color w:val="006EC0"/>
        </w:rPr>
        <w:t xml:space="preserve"> par </w:t>
      </w:r>
      <w:r w:rsidRPr="00EF76F4">
        <w:rPr>
          <w:color w:val="006EC0"/>
        </w:rPr>
        <w:t>de</w:t>
      </w:r>
      <w:r>
        <w:rPr>
          <w:color w:val="006EC0"/>
        </w:rPr>
        <w:t>s</w:t>
      </w:r>
      <w:r w:rsidRPr="00EF76F4">
        <w:rPr>
          <w:color w:val="006EC0"/>
        </w:rPr>
        <w:t xml:space="preserve"> séances d’informations ou d’autoformations dans</w:t>
      </w:r>
      <w:r w:rsidRPr="009C0842">
        <w:rPr>
          <w:color w:val="006EC0"/>
        </w:rPr>
        <w:t xml:space="preserve"> </w:t>
      </w:r>
      <w:r w:rsidRPr="00EF76F4">
        <w:rPr>
          <w:color w:val="006EC0"/>
        </w:rPr>
        <w:t>un</w:t>
      </w:r>
      <w:r w:rsidRPr="009C0842">
        <w:rPr>
          <w:color w:val="006EC0"/>
        </w:rPr>
        <w:t xml:space="preserve"> </w:t>
      </w:r>
      <w:r w:rsidRPr="00EF76F4">
        <w:rPr>
          <w:color w:val="006EC0"/>
        </w:rPr>
        <w:t>contexte</w:t>
      </w:r>
      <w:r w:rsidRPr="009C0842">
        <w:rPr>
          <w:color w:val="006EC0"/>
        </w:rPr>
        <w:t xml:space="preserve"> </w:t>
      </w:r>
      <w:r w:rsidR="00C30C00">
        <w:rPr>
          <w:color w:val="006EC0"/>
        </w:rPr>
        <w:t xml:space="preserve">permanent </w:t>
      </w:r>
      <w:r w:rsidRPr="00EF76F4">
        <w:rPr>
          <w:color w:val="006EC0"/>
        </w:rPr>
        <w:t>d'inflation</w:t>
      </w:r>
      <w:r w:rsidRPr="009C0842">
        <w:rPr>
          <w:color w:val="006EC0"/>
        </w:rPr>
        <w:t xml:space="preserve"> </w:t>
      </w:r>
      <w:r w:rsidRPr="00EF76F4">
        <w:rPr>
          <w:color w:val="006EC0"/>
        </w:rPr>
        <w:t>législative</w:t>
      </w:r>
    </w:p>
    <w:p w14:paraId="7A8086A9" w14:textId="6B974773" w:rsidR="007D3986" w:rsidRDefault="009C0842" w:rsidP="009D0F9F">
      <w:pPr>
        <w:pStyle w:val="Paragraphedeliste"/>
        <w:numPr>
          <w:ilvl w:val="0"/>
          <w:numId w:val="1"/>
        </w:numPr>
        <w:tabs>
          <w:tab w:val="left" w:pos="836"/>
        </w:tabs>
        <w:spacing w:after="160"/>
        <w:ind w:left="476" w:right="119"/>
        <w:rPr>
          <w:color w:val="006EC0"/>
        </w:rPr>
      </w:pPr>
      <w:r w:rsidRPr="009C0842">
        <w:rPr>
          <w:color w:val="006EC0"/>
        </w:rPr>
        <w:t xml:space="preserve"> La mise à disposition d’outils fonctionnels et opérationnels </w:t>
      </w:r>
      <w:r w:rsidR="007D3986">
        <w:rPr>
          <w:color w:val="006EC0"/>
        </w:rPr>
        <w:t>tant en matière d’équipement</w:t>
      </w:r>
      <w:r w:rsidR="00514FC9">
        <w:rPr>
          <w:color w:val="006EC0"/>
        </w:rPr>
        <w:t>s</w:t>
      </w:r>
      <w:r w:rsidR="007D3986">
        <w:rPr>
          <w:color w:val="006EC0"/>
        </w:rPr>
        <w:t xml:space="preserve">, qu’en matière de logiciels </w:t>
      </w:r>
      <w:r w:rsidR="001F72DD">
        <w:rPr>
          <w:color w:val="006EC0"/>
        </w:rPr>
        <w:t xml:space="preserve">devant être </w:t>
      </w:r>
      <w:r w:rsidR="007D3986" w:rsidRPr="009C0842">
        <w:rPr>
          <w:color w:val="006EC0"/>
        </w:rPr>
        <w:t>adaptés pour l’ensemble des contrôles</w:t>
      </w:r>
      <w:r w:rsidR="00514FC9">
        <w:rPr>
          <w:color w:val="006EC0"/>
        </w:rPr>
        <w:t>,</w:t>
      </w:r>
      <w:r w:rsidR="007D3986" w:rsidRPr="009C0842">
        <w:rPr>
          <w:color w:val="006EC0"/>
        </w:rPr>
        <w:t xml:space="preserve"> de la TPE à la TGE</w:t>
      </w:r>
      <w:r w:rsidR="00514FC9">
        <w:rPr>
          <w:color w:val="006EC0"/>
        </w:rPr>
        <w:t>,</w:t>
      </w:r>
      <w:r w:rsidR="007D3986" w:rsidRPr="009C0842">
        <w:rPr>
          <w:color w:val="006EC0"/>
        </w:rPr>
        <w:t xml:space="preserve"> et </w:t>
      </w:r>
      <w:r w:rsidR="001F72DD">
        <w:rPr>
          <w:color w:val="006EC0"/>
        </w:rPr>
        <w:t>également pour l</w:t>
      </w:r>
      <w:r w:rsidR="00514FC9">
        <w:rPr>
          <w:color w:val="006EC0"/>
        </w:rPr>
        <w:t xml:space="preserve">es </w:t>
      </w:r>
      <w:r w:rsidR="007D3986" w:rsidRPr="009C0842">
        <w:rPr>
          <w:color w:val="006EC0"/>
        </w:rPr>
        <w:t>investigations LCTI</w:t>
      </w:r>
    </w:p>
    <w:p w14:paraId="79F89982" w14:textId="7F0498CD" w:rsidR="00B006E8" w:rsidRDefault="00B006E8" w:rsidP="009D0F9F">
      <w:pPr>
        <w:pStyle w:val="Paragraphedeliste"/>
        <w:numPr>
          <w:ilvl w:val="0"/>
          <w:numId w:val="1"/>
        </w:numPr>
        <w:tabs>
          <w:tab w:val="left" w:pos="836"/>
        </w:tabs>
        <w:spacing w:after="160"/>
        <w:ind w:left="476" w:right="119"/>
        <w:rPr>
          <w:color w:val="006EC0"/>
        </w:rPr>
      </w:pPr>
      <w:r>
        <w:rPr>
          <w:color w:val="006EC0"/>
        </w:rPr>
        <w:t>La suppression des objectifs chiffrés</w:t>
      </w:r>
    </w:p>
    <w:p w14:paraId="15C6FA9B" w14:textId="7C0E1F9D" w:rsidR="00C3202A" w:rsidRPr="00C3202A" w:rsidRDefault="00C3202A" w:rsidP="009D0F9F">
      <w:pPr>
        <w:pStyle w:val="Paragraphedeliste"/>
        <w:numPr>
          <w:ilvl w:val="0"/>
          <w:numId w:val="1"/>
        </w:numPr>
        <w:tabs>
          <w:tab w:val="left" w:pos="836"/>
        </w:tabs>
        <w:spacing w:after="160"/>
        <w:ind w:left="476" w:right="119"/>
        <w:rPr>
          <w:color w:val="006EC0"/>
        </w:rPr>
      </w:pPr>
      <w:r>
        <w:rPr>
          <w:color w:val="006EC0"/>
        </w:rPr>
        <w:t>L’a</w:t>
      </w:r>
      <w:r w:rsidRPr="00C3202A">
        <w:rPr>
          <w:color w:val="006EC0"/>
        </w:rPr>
        <w:t>ppli</w:t>
      </w:r>
      <w:r>
        <w:rPr>
          <w:color w:val="006EC0"/>
        </w:rPr>
        <w:t>cation</w:t>
      </w:r>
      <w:r w:rsidRPr="00C3202A">
        <w:rPr>
          <w:color w:val="006EC0"/>
        </w:rPr>
        <w:t xml:space="preserve"> </w:t>
      </w:r>
      <w:r w:rsidR="007A5F96">
        <w:rPr>
          <w:color w:val="006EC0"/>
        </w:rPr>
        <w:t xml:space="preserve">de </w:t>
      </w:r>
      <w:r w:rsidRPr="00C3202A">
        <w:rPr>
          <w:color w:val="006EC0"/>
        </w:rPr>
        <w:t>la procédure de « supervision » à bon escient, sans intrusion de la hiérarchie à tous les stades de la procédure de contrôle, généra</w:t>
      </w:r>
      <w:r>
        <w:rPr>
          <w:color w:val="006EC0"/>
        </w:rPr>
        <w:t xml:space="preserve">trice </w:t>
      </w:r>
      <w:r w:rsidRPr="00C3202A">
        <w:rPr>
          <w:color w:val="006EC0"/>
        </w:rPr>
        <w:t xml:space="preserve">de risques psychosociaux </w:t>
      </w:r>
      <w:r w:rsidR="007A5F96">
        <w:rPr>
          <w:color w:val="006EC0"/>
        </w:rPr>
        <w:t xml:space="preserve">et </w:t>
      </w:r>
      <w:r w:rsidRPr="00C3202A">
        <w:rPr>
          <w:color w:val="006EC0"/>
        </w:rPr>
        <w:t>en contradiction avec les textes qui régissent la procédure de contrôle très strictement encadrée</w:t>
      </w:r>
    </w:p>
    <w:p w14:paraId="56376564" w14:textId="7153960F" w:rsidR="00C3202A" w:rsidRDefault="00C3202A" w:rsidP="009D0F9F">
      <w:pPr>
        <w:pStyle w:val="Paragraphedeliste"/>
        <w:numPr>
          <w:ilvl w:val="0"/>
          <w:numId w:val="1"/>
        </w:numPr>
        <w:tabs>
          <w:tab w:val="left" w:pos="836"/>
        </w:tabs>
        <w:spacing w:after="160"/>
        <w:ind w:left="476" w:right="119"/>
        <w:rPr>
          <w:color w:val="006EC0"/>
        </w:rPr>
      </w:pPr>
      <w:r>
        <w:rPr>
          <w:color w:val="006EC0"/>
        </w:rPr>
        <w:t xml:space="preserve">L’arrêt de </w:t>
      </w:r>
      <w:r w:rsidRPr="00C3202A">
        <w:rPr>
          <w:color w:val="006EC0"/>
        </w:rPr>
        <w:t xml:space="preserve">toute spécialisation </w:t>
      </w:r>
      <w:r>
        <w:rPr>
          <w:color w:val="006EC0"/>
        </w:rPr>
        <w:t xml:space="preserve">imposée </w:t>
      </w:r>
      <w:r w:rsidRPr="00C3202A">
        <w:rPr>
          <w:color w:val="006EC0"/>
        </w:rPr>
        <w:t>des inspecteurs</w:t>
      </w:r>
      <w:r w:rsidR="00CF3799">
        <w:rPr>
          <w:color w:val="006EC0"/>
        </w:rPr>
        <w:t>,</w:t>
      </w:r>
      <w:r w:rsidRPr="00C3202A">
        <w:rPr>
          <w:color w:val="006EC0"/>
        </w:rPr>
        <w:t xml:space="preserve"> destinée à les cantonner dans des domaines des législations et/ou des segments d’entreprises très précis</w:t>
      </w:r>
      <w:r w:rsidR="00CF3799">
        <w:rPr>
          <w:color w:val="006EC0"/>
        </w:rPr>
        <w:t>. L</w:t>
      </w:r>
      <w:r w:rsidR="00874B5D" w:rsidRPr="00EF76F4">
        <w:rPr>
          <w:color w:val="006EC0"/>
        </w:rPr>
        <w:t>a diversité de la nature et des secteurs des</w:t>
      </w:r>
      <w:r w:rsidR="00874B5D" w:rsidRPr="009D0F9F">
        <w:rPr>
          <w:color w:val="006EC0"/>
        </w:rPr>
        <w:t xml:space="preserve"> </w:t>
      </w:r>
      <w:r w:rsidR="00874B5D" w:rsidRPr="00EF76F4">
        <w:rPr>
          <w:color w:val="006EC0"/>
        </w:rPr>
        <w:t>entreprises</w:t>
      </w:r>
      <w:r w:rsidR="00874B5D" w:rsidRPr="009D0F9F">
        <w:rPr>
          <w:color w:val="006EC0"/>
        </w:rPr>
        <w:t xml:space="preserve"> </w:t>
      </w:r>
      <w:r w:rsidR="009C220E">
        <w:rPr>
          <w:color w:val="006EC0"/>
        </w:rPr>
        <w:t>est</w:t>
      </w:r>
      <w:r w:rsidRPr="00C3202A">
        <w:rPr>
          <w:color w:val="006EC0"/>
        </w:rPr>
        <w:t xml:space="preserve"> une condition primordiale pour l’épanouissement professionnel </w:t>
      </w:r>
      <w:r>
        <w:rPr>
          <w:color w:val="006EC0"/>
        </w:rPr>
        <w:t>et</w:t>
      </w:r>
      <w:r w:rsidRPr="00C3202A">
        <w:rPr>
          <w:color w:val="006EC0"/>
        </w:rPr>
        <w:t xml:space="preserve"> </w:t>
      </w:r>
      <w:r w:rsidR="00514FC9">
        <w:rPr>
          <w:color w:val="006EC0"/>
        </w:rPr>
        <w:t xml:space="preserve">la </w:t>
      </w:r>
      <w:r w:rsidRPr="00C3202A">
        <w:rPr>
          <w:color w:val="006EC0"/>
        </w:rPr>
        <w:t>qualité de vie au travail</w:t>
      </w:r>
    </w:p>
    <w:p w14:paraId="4424EB7F" w14:textId="77777777" w:rsidR="00CE5DBE" w:rsidRDefault="00CE5DBE" w:rsidP="00CE5DBE">
      <w:pPr>
        <w:pStyle w:val="Paragraphedeliste"/>
        <w:tabs>
          <w:tab w:val="left" w:pos="836"/>
        </w:tabs>
        <w:spacing w:after="160"/>
        <w:ind w:left="476" w:right="119" w:firstLine="0"/>
        <w:rPr>
          <w:color w:val="006EC0"/>
        </w:rPr>
      </w:pPr>
    </w:p>
    <w:p w14:paraId="20812A30" w14:textId="6F314D0F" w:rsidR="004209DA" w:rsidRDefault="00874B5D" w:rsidP="009D0F9F">
      <w:pPr>
        <w:pStyle w:val="Paragraphedeliste"/>
        <w:numPr>
          <w:ilvl w:val="0"/>
          <w:numId w:val="1"/>
        </w:numPr>
        <w:tabs>
          <w:tab w:val="left" w:pos="836"/>
        </w:tabs>
        <w:spacing w:after="160"/>
        <w:ind w:left="476" w:right="119"/>
        <w:rPr>
          <w:color w:val="006EC0"/>
        </w:rPr>
      </w:pPr>
      <w:r w:rsidRPr="00874B5D">
        <w:rPr>
          <w:color w:val="006EC0"/>
        </w:rPr>
        <w:lastRenderedPageBreak/>
        <w:t xml:space="preserve">Le retour dans tous les organismes du volontariat pour les contrôles effectués dans le cadre des grands déplacements, ceux-ci </w:t>
      </w:r>
      <w:r>
        <w:rPr>
          <w:color w:val="006EC0"/>
        </w:rPr>
        <w:t xml:space="preserve">ayant </w:t>
      </w:r>
      <w:r w:rsidRPr="00874B5D">
        <w:rPr>
          <w:color w:val="006EC0"/>
        </w:rPr>
        <w:t>des incidences non négligeables sur la vie familiale et sur la santé</w:t>
      </w:r>
    </w:p>
    <w:p w14:paraId="1A3D4B18" w14:textId="58563A4E" w:rsidR="00514FC9" w:rsidRPr="002A7554" w:rsidRDefault="00514FC9" w:rsidP="00514FC9">
      <w:pPr>
        <w:pStyle w:val="Paragraphedeliste"/>
        <w:numPr>
          <w:ilvl w:val="0"/>
          <w:numId w:val="1"/>
        </w:numPr>
        <w:tabs>
          <w:tab w:val="left" w:pos="836"/>
        </w:tabs>
        <w:spacing w:after="160"/>
        <w:ind w:left="476" w:right="119"/>
        <w:rPr>
          <w:i/>
          <w:iCs/>
          <w:color w:val="006EC0"/>
        </w:rPr>
      </w:pPr>
      <w:r w:rsidRPr="002A7554">
        <w:rPr>
          <w:color w:val="006EC0"/>
        </w:rPr>
        <w:t>Le retour dans tous les organismes du volontariat pour l’exercice des fonctions de tuteurs et de moniteurs</w:t>
      </w:r>
    </w:p>
    <w:p w14:paraId="76501C7A" w14:textId="7AB6B958" w:rsidR="00514FC9" w:rsidRPr="002A7554" w:rsidRDefault="00514FC9" w:rsidP="00514FC9">
      <w:pPr>
        <w:pStyle w:val="Paragraphedeliste"/>
        <w:numPr>
          <w:ilvl w:val="0"/>
          <w:numId w:val="1"/>
        </w:numPr>
        <w:tabs>
          <w:tab w:val="left" w:pos="836"/>
        </w:tabs>
        <w:spacing w:after="160"/>
        <w:ind w:left="476" w:right="119"/>
        <w:rPr>
          <w:i/>
          <w:iCs/>
          <w:color w:val="006EC0"/>
        </w:rPr>
      </w:pPr>
      <w:r w:rsidRPr="002A7554">
        <w:rPr>
          <w:color w:val="006EC0"/>
        </w:rPr>
        <w:t xml:space="preserve">L’attribution de la </w:t>
      </w:r>
      <w:r w:rsidR="00173BAA" w:rsidRPr="002A7554">
        <w:rPr>
          <w:color w:val="006EC0"/>
        </w:rPr>
        <w:t xml:space="preserve">prime de tutorat aux tuteurs et aux moniteurs pour toute la durée de l’accompagnement du </w:t>
      </w:r>
      <w:r w:rsidR="00700B2D" w:rsidRPr="002A7554">
        <w:rPr>
          <w:color w:val="006EC0"/>
        </w:rPr>
        <w:t>nouvel inspecteur</w:t>
      </w:r>
      <w:r w:rsidR="00C654DA" w:rsidRPr="002A7554">
        <w:rPr>
          <w:color w:val="006EC0"/>
        </w:rPr>
        <w:t xml:space="preserve"> </w:t>
      </w:r>
      <w:r w:rsidR="00700B2D" w:rsidRPr="002A7554">
        <w:rPr>
          <w:color w:val="006EC0"/>
        </w:rPr>
        <w:t>au-delà</w:t>
      </w:r>
      <w:r w:rsidR="00C654DA" w:rsidRPr="002A7554">
        <w:rPr>
          <w:color w:val="006EC0"/>
        </w:rPr>
        <w:t xml:space="preserve"> </w:t>
      </w:r>
      <w:r w:rsidR="00B006E8" w:rsidRPr="002A7554">
        <w:rPr>
          <w:color w:val="006EC0"/>
        </w:rPr>
        <w:t xml:space="preserve">de son agrément et de sa </w:t>
      </w:r>
      <w:r w:rsidR="00C654DA" w:rsidRPr="002A7554">
        <w:rPr>
          <w:color w:val="006EC0"/>
        </w:rPr>
        <w:t>certification, jusqu’à la fin du processus de formation</w:t>
      </w:r>
      <w:r w:rsidR="00700B2D" w:rsidRPr="002A7554">
        <w:rPr>
          <w:color w:val="006EC0"/>
        </w:rPr>
        <w:t xml:space="preserve"> tel que défini dans le plan de formation</w:t>
      </w:r>
    </w:p>
    <w:p w14:paraId="00E5B118" w14:textId="5ACD1924" w:rsidR="00C654DA" w:rsidRPr="002A7554" w:rsidRDefault="00C654DA" w:rsidP="00514FC9">
      <w:pPr>
        <w:pStyle w:val="Paragraphedeliste"/>
        <w:numPr>
          <w:ilvl w:val="0"/>
          <w:numId w:val="1"/>
        </w:numPr>
        <w:tabs>
          <w:tab w:val="left" w:pos="836"/>
        </w:tabs>
        <w:spacing w:after="160"/>
        <w:ind w:left="476" w:right="119"/>
        <w:rPr>
          <w:i/>
          <w:iCs/>
          <w:color w:val="006EC0"/>
        </w:rPr>
      </w:pPr>
      <w:r w:rsidRPr="002A7554">
        <w:rPr>
          <w:color w:val="006EC0"/>
        </w:rPr>
        <w:t xml:space="preserve">La réévaluation significative de la prime </w:t>
      </w:r>
      <w:r w:rsidR="00B110D1">
        <w:rPr>
          <w:color w:val="006EC0"/>
        </w:rPr>
        <w:t xml:space="preserve">de </w:t>
      </w:r>
      <w:r w:rsidRPr="002A7554">
        <w:rPr>
          <w:color w:val="006EC0"/>
        </w:rPr>
        <w:t>tutorat et de monitorat</w:t>
      </w:r>
    </w:p>
    <w:p w14:paraId="7492B378" w14:textId="77777777" w:rsidR="00701180" w:rsidRDefault="00701180" w:rsidP="00701180">
      <w:pPr>
        <w:pStyle w:val="Paragraphedeliste"/>
        <w:numPr>
          <w:ilvl w:val="0"/>
          <w:numId w:val="1"/>
        </w:numPr>
        <w:tabs>
          <w:tab w:val="left" w:pos="836"/>
        </w:tabs>
        <w:spacing w:after="160"/>
        <w:ind w:left="476" w:right="119"/>
        <w:rPr>
          <w:color w:val="006EC0"/>
        </w:rPr>
      </w:pPr>
      <w:r w:rsidRPr="006263B1">
        <w:rPr>
          <w:color w:val="006EC0"/>
        </w:rPr>
        <w:t xml:space="preserve">La reconnaissance du temps de trajet en mission de contrôle comme temps de travail effectif par tous les organismes </w:t>
      </w:r>
    </w:p>
    <w:p w14:paraId="2EF47E01" w14:textId="79AC39CF" w:rsidR="00701180" w:rsidRPr="00701180" w:rsidRDefault="00701180" w:rsidP="00701180">
      <w:pPr>
        <w:pStyle w:val="Paragraphedeliste"/>
        <w:numPr>
          <w:ilvl w:val="0"/>
          <w:numId w:val="1"/>
        </w:numPr>
        <w:tabs>
          <w:tab w:val="left" w:pos="836"/>
        </w:tabs>
        <w:spacing w:after="160"/>
        <w:ind w:left="476" w:right="119"/>
        <w:rPr>
          <w:color w:val="006EC0"/>
        </w:rPr>
      </w:pPr>
      <w:r w:rsidRPr="006263B1">
        <w:rPr>
          <w:color w:val="006EC0"/>
        </w:rPr>
        <w:t>L'application dans tous les organismes du principe de remboursement des repas, énoncé par l’UCANSS elle-même par lettre au SNFOCOS en 2007. Celle-ci précise que, dès lors que le salarié est en déplacement en dehors du siège de l'organisme entre 11 heures et 14 heures, il a droit à l'indemnité forfaitaire sans l'application d'un minimum de distance kilométrique. Par voie de conséquence, une durée minimale de déplacement ne saurait être imposée</w:t>
      </w:r>
      <w:r>
        <w:rPr>
          <w:color w:val="006EC0"/>
        </w:rPr>
        <w:t>.</w:t>
      </w:r>
    </w:p>
    <w:p w14:paraId="5B644B60" w14:textId="31A0716D" w:rsidR="00885878" w:rsidRDefault="00D05B42" w:rsidP="00935C1B">
      <w:pPr>
        <w:pStyle w:val="Corpsdetexte"/>
        <w:jc w:val="both"/>
        <w:rPr>
          <w:color w:val="006EC0"/>
          <w:sz w:val="22"/>
          <w:szCs w:val="22"/>
        </w:rPr>
      </w:pPr>
      <w:r w:rsidRPr="00D6139E">
        <w:rPr>
          <w:b/>
          <w:bCs/>
          <w:color w:val="006EC0"/>
          <w:sz w:val="22"/>
          <w:szCs w:val="22"/>
        </w:rPr>
        <w:t>La Commission Permanente Professionnelle dénonce l</w:t>
      </w:r>
      <w:r w:rsidR="00885878" w:rsidRPr="00D6139E">
        <w:rPr>
          <w:b/>
          <w:bCs/>
          <w:color w:val="006EC0"/>
          <w:sz w:val="22"/>
          <w:szCs w:val="22"/>
        </w:rPr>
        <w:t xml:space="preserve">a dégradation </w:t>
      </w:r>
      <w:r w:rsidR="00610ED8" w:rsidRPr="00D6139E">
        <w:rPr>
          <w:b/>
          <w:bCs/>
          <w:color w:val="006EC0"/>
          <w:sz w:val="22"/>
          <w:szCs w:val="22"/>
        </w:rPr>
        <w:t>continue</w:t>
      </w:r>
      <w:r w:rsidR="00885878" w:rsidRPr="00D6139E">
        <w:rPr>
          <w:b/>
          <w:bCs/>
          <w:color w:val="006EC0"/>
          <w:sz w:val="22"/>
          <w:szCs w:val="22"/>
        </w:rPr>
        <w:t xml:space="preserve"> d</w:t>
      </w:r>
      <w:r w:rsidR="0060005F" w:rsidRPr="00D6139E">
        <w:rPr>
          <w:b/>
          <w:bCs/>
          <w:color w:val="006EC0"/>
          <w:sz w:val="22"/>
          <w:szCs w:val="22"/>
        </w:rPr>
        <w:t>es conditions de mise en place et de fonctionnement d</w:t>
      </w:r>
      <w:r w:rsidR="00885878" w:rsidRPr="00D6139E">
        <w:rPr>
          <w:b/>
          <w:bCs/>
          <w:color w:val="006EC0"/>
          <w:sz w:val="22"/>
          <w:szCs w:val="22"/>
        </w:rPr>
        <w:t>u marché automobile</w:t>
      </w:r>
      <w:r w:rsidR="00885878" w:rsidRPr="00D6139E">
        <w:rPr>
          <w:color w:val="006EC0"/>
          <w:sz w:val="22"/>
          <w:szCs w:val="22"/>
        </w:rPr>
        <w:t xml:space="preserve"> </w:t>
      </w:r>
      <w:r w:rsidR="0060005F" w:rsidRPr="00D6139E">
        <w:rPr>
          <w:color w:val="006EC0"/>
          <w:sz w:val="22"/>
          <w:szCs w:val="22"/>
        </w:rPr>
        <w:t xml:space="preserve">(remise en cause </w:t>
      </w:r>
      <w:r w:rsidR="00885878" w:rsidRPr="00D6139E">
        <w:rPr>
          <w:color w:val="006EC0"/>
          <w:sz w:val="22"/>
          <w:szCs w:val="22"/>
        </w:rPr>
        <w:t xml:space="preserve">des conditions de mises à </w:t>
      </w:r>
      <w:r w:rsidR="00D6139E" w:rsidRPr="00D6139E">
        <w:rPr>
          <w:color w:val="006EC0"/>
          <w:sz w:val="22"/>
          <w:szCs w:val="22"/>
        </w:rPr>
        <w:t>disposition, augmentation</w:t>
      </w:r>
      <w:r w:rsidR="0060005F" w:rsidRPr="00D6139E">
        <w:rPr>
          <w:color w:val="006EC0"/>
          <w:sz w:val="22"/>
          <w:szCs w:val="22"/>
        </w:rPr>
        <w:t xml:space="preserve"> </w:t>
      </w:r>
      <w:r w:rsidR="003A65B5" w:rsidRPr="00D6139E">
        <w:rPr>
          <w:color w:val="006EC0"/>
          <w:sz w:val="22"/>
          <w:szCs w:val="22"/>
        </w:rPr>
        <w:t>exponentielle</w:t>
      </w:r>
      <w:r w:rsidR="0060005F" w:rsidRPr="00D6139E">
        <w:rPr>
          <w:color w:val="006EC0"/>
          <w:sz w:val="22"/>
          <w:szCs w:val="22"/>
        </w:rPr>
        <w:t xml:space="preserve"> des prix…). </w:t>
      </w:r>
    </w:p>
    <w:p w14:paraId="3D532481" w14:textId="3B369BA8" w:rsidR="00885878" w:rsidRDefault="00885878" w:rsidP="00935C1B">
      <w:pPr>
        <w:pStyle w:val="Corpsdetexte"/>
        <w:jc w:val="both"/>
        <w:rPr>
          <w:color w:val="006EC0"/>
          <w:sz w:val="22"/>
          <w:szCs w:val="22"/>
        </w:rPr>
      </w:pPr>
      <w:r>
        <w:rPr>
          <w:color w:val="006EC0"/>
          <w:sz w:val="22"/>
          <w:szCs w:val="22"/>
        </w:rPr>
        <w:t xml:space="preserve">Le renouvellement par cycle, mis en place par la Lettre Collective de 2018, a complexifié la gestion du marché </w:t>
      </w:r>
      <w:r w:rsidR="00D6139E">
        <w:rPr>
          <w:color w:val="006EC0"/>
          <w:sz w:val="22"/>
          <w:szCs w:val="22"/>
        </w:rPr>
        <w:t xml:space="preserve">pour les organismes </w:t>
      </w:r>
      <w:r>
        <w:rPr>
          <w:color w:val="006EC0"/>
          <w:sz w:val="22"/>
          <w:szCs w:val="22"/>
        </w:rPr>
        <w:t>et aggravé les inégalités entre les inspecteurs. Aujourd’hui</w:t>
      </w:r>
      <w:r w:rsidR="00AB7409">
        <w:rPr>
          <w:color w:val="006EC0"/>
          <w:sz w:val="22"/>
          <w:szCs w:val="22"/>
        </w:rPr>
        <w:t>,</w:t>
      </w:r>
      <w:r>
        <w:rPr>
          <w:color w:val="006EC0"/>
          <w:sz w:val="22"/>
          <w:szCs w:val="22"/>
        </w:rPr>
        <w:t xml:space="preserve"> il n’est plus possible de savoir quel véhicule sera proposé</w:t>
      </w:r>
      <w:r w:rsidR="0060005F">
        <w:rPr>
          <w:color w:val="006EC0"/>
          <w:sz w:val="22"/>
          <w:szCs w:val="22"/>
        </w:rPr>
        <w:t>,</w:t>
      </w:r>
      <w:r>
        <w:rPr>
          <w:color w:val="006EC0"/>
          <w:sz w:val="22"/>
          <w:szCs w:val="22"/>
        </w:rPr>
        <w:t xml:space="preserve"> à qui, à quelle date et à quel prix. L’ajout dans la Lettre Collective de 2023, de l’obligation d’acquérir 50% de véhicules électriques accentue encore les difficultés et les inégalités.</w:t>
      </w:r>
    </w:p>
    <w:p w14:paraId="2B6583AF" w14:textId="77777777" w:rsidR="009D0F9F" w:rsidRDefault="009D0F9F" w:rsidP="00935C1B">
      <w:pPr>
        <w:pStyle w:val="Corpsdetexte"/>
        <w:jc w:val="both"/>
        <w:rPr>
          <w:color w:val="006EC0"/>
          <w:sz w:val="22"/>
          <w:szCs w:val="22"/>
        </w:rPr>
      </w:pPr>
    </w:p>
    <w:p w14:paraId="29BF51A9" w14:textId="5FA504F6" w:rsidR="00885878" w:rsidRPr="009D0F9F" w:rsidRDefault="00885878" w:rsidP="00935C1B">
      <w:pPr>
        <w:pStyle w:val="Corpsdetexte"/>
        <w:jc w:val="both"/>
        <w:rPr>
          <w:b/>
          <w:bCs/>
          <w:color w:val="006EC0"/>
          <w:sz w:val="22"/>
          <w:szCs w:val="22"/>
        </w:rPr>
      </w:pPr>
      <w:r w:rsidRPr="009D0F9F">
        <w:rPr>
          <w:b/>
          <w:bCs/>
          <w:color w:val="006EC0"/>
          <w:sz w:val="22"/>
          <w:szCs w:val="22"/>
        </w:rPr>
        <w:t>C’est pourquoi la Commission Permanente Professionnelle exige :</w:t>
      </w:r>
    </w:p>
    <w:p w14:paraId="59147367" w14:textId="77777777" w:rsidR="009D0F9F" w:rsidRDefault="009D0F9F" w:rsidP="00935C1B">
      <w:pPr>
        <w:pStyle w:val="Corpsdetexte"/>
        <w:jc w:val="both"/>
        <w:rPr>
          <w:color w:val="006EC0"/>
          <w:sz w:val="22"/>
          <w:szCs w:val="22"/>
        </w:rPr>
      </w:pPr>
    </w:p>
    <w:p w14:paraId="09EBB3A8" w14:textId="0C95782C" w:rsidR="00514FC9" w:rsidRDefault="00514FC9" w:rsidP="00B03C50">
      <w:pPr>
        <w:pStyle w:val="Paragraphedeliste"/>
        <w:numPr>
          <w:ilvl w:val="0"/>
          <w:numId w:val="1"/>
        </w:numPr>
        <w:tabs>
          <w:tab w:val="left" w:pos="836"/>
        </w:tabs>
        <w:spacing w:after="160"/>
        <w:ind w:left="476" w:right="119"/>
        <w:rPr>
          <w:color w:val="006EC0"/>
        </w:rPr>
      </w:pPr>
      <w:r>
        <w:rPr>
          <w:color w:val="006EC0"/>
        </w:rPr>
        <w:t xml:space="preserve">Le libre choix du modèle de véhicule et de sa </w:t>
      </w:r>
      <w:r w:rsidR="004D41B8">
        <w:rPr>
          <w:color w:val="006EC0"/>
        </w:rPr>
        <w:t>motorisation</w:t>
      </w:r>
      <w:r>
        <w:rPr>
          <w:color w:val="006EC0"/>
        </w:rPr>
        <w:t xml:space="preserve"> (</w:t>
      </w:r>
      <w:r w:rsidR="004D41B8">
        <w:rPr>
          <w:color w:val="006EC0"/>
        </w:rPr>
        <w:t>thermique</w:t>
      </w:r>
      <w:r>
        <w:rPr>
          <w:color w:val="006EC0"/>
        </w:rPr>
        <w:t xml:space="preserve"> ou électrique) par les utilisateurs optant pour l’usage mixte</w:t>
      </w:r>
    </w:p>
    <w:p w14:paraId="1DF5FEB4" w14:textId="45B2AC94" w:rsidR="00B03C50" w:rsidRPr="00885878" w:rsidRDefault="00885878" w:rsidP="00B03C50">
      <w:pPr>
        <w:pStyle w:val="Paragraphedeliste"/>
        <w:numPr>
          <w:ilvl w:val="0"/>
          <w:numId w:val="1"/>
        </w:numPr>
        <w:tabs>
          <w:tab w:val="left" w:pos="836"/>
        </w:tabs>
        <w:spacing w:after="160"/>
        <w:ind w:left="476" w:right="119"/>
        <w:rPr>
          <w:color w:val="006EC0"/>
        </w:rPr>
      </w:pPr>
      <w:r w:rsidRPr="00B03C50">
        <w:rPr>
          <w:color w:val="006EC0"/>
        </w:rPr>
        <w:t xml:space="preserve">La </w:t>
      </w:r>
      <w:r w:rsidR="00B03C50">
        <w:rPr>
          <w:color w:val="006EC0"/>
        </w:rPr>
        <w:t>mise en place d’</w:t>
      </w:r>
      <w:r w:rsidR="00B03C50" w:rsidRPr="00885878">
        <w:rPr>
          <w:color w:val="006EC0"/>
        </w:rPr>
        <w:t>un avantage en nature</w:t>
      </w:r>
      <w:r w:rsidR="00B648C1">
        <w:rPr>
          <w:color w:val="006EC0"/>
        </w:rPr>
        <w:t>,</w:t>
      </w:r>
      <w:r w:rsidR="00B03C50" w:rsidRPr="00885878">
        <w:rPr>
          <w:color w:val="006EC0"/>
        </w:rPr>
        <w:t xml:space="preserve"> et non d’une participation financière devenue bien trop élevée</w:t>
      </w:r>
      <w:r w:rsidR="00B648C1">
        <w:rPr>
          <w:color w:val="006EC0"/>
        </w:rPr>
        <w:t>,</w:t>
      </w:r>
      <w:r w:rsidR="00B03C50" w:rsidRPr="00885878">
        <w:rPr>
          <w:color w:val="006EC0"/>
        </w:rPr>
        <w:t xml:space="preserve"> </w:t>
      </w:r>
      <w:r w:rsidR="00B03C50">
        <w:rPr>
          <w:color w:val="006EC0"/>
        </w:rPr>
        <w:t>compte tenu des tarifs pratiqués par l’Ugap</w:t>
      </w:r>
      <w:r w:rsidR="00522096">
        <w:rPr>
          <w:color w:val="006EC0"/>
        </w:rPr>
        <w:t>,</w:t>
      </w:r>
      <w:r w:rsidR="00B03C50">
        <w:rPr>
          <w:color w:val="006EC0"/>
        </w:rPr>
        <w:t xml:space="preserve"> en raison notamment du choix de la Caisse Nationale du fractionnement du marché d’achat d’une part, et de la </w:t>
      </w:r>
      <w:r w:rsidR="00B03C50" w:rsidRPr="00885878">
        <w:rPr>
          <w:color w:val="006EC0"/>
        </w:rPr>
        <w:t>mise en place d’une flotte de véhicules électriques</w:t>
      </w:r>
      <w:r w:rsidR="00B03C50">
        <w:rPr>
          <w:color w:val="006EC0"/>
        </w:rPr>
        <w:t>, d’autre part</w:t>
      </w:r>
    </w:p>
    <w:p w14:paraId="6D184F9A" w14:textId="22D8C434" w:rsidR="00885878" w:rsidRPr="00B03C50" w:rsidRDefault="00885878" w:rsidP="009D0F9F">
      <w:pPr>
        <w:pStyle w:val="Paragraphedeliste"/>
        <w:numPr>
          <w:ilvl w:val="0"/>
          <w:numId w:val="1"/>
        </w:numPr>
        <w:tabs>
          <w:tab w:val="left" w:pos="836"/>
        </w:tabs>
        <w:spacing w:after="160"/>
        <w:ind w:left="476" w:right="119"/>
        <w:rPr>
          <w:color w:val="006EC0"/>
        </w:rPr>
      </w:pPr>
      <w:r w:rsidRPr="00B03C50">
        <w:rPr>
          <w:color w:val="006EC0"/>
        </w:rPr>
        <w:t>La mise à disposition de véhicules adaptés</w:t>
      </w:r>
      <w:r w:rsidR="00A83A7A" w:rsidRPr="00B03C50">
        <w:rPr>
          <w:color w:val="006EC0"/>
        </w:rPr>
        <w:t xml:space="preserve"> pour </w:t>
      </w:r>
      <w:r w:rsidRPr="00B03C50">
        <w:rPr>
          <w:color w:val="006EC0"/>
        </w:rPr>
        <w:t xml:space="preserve">tous les salariés en situation de handicap </w:t>
      </w:r>
      <w:r w:rsidR="00A83A7A" w:rsidRPr="00B03C50">
        <w:rPr>
          <w:color w:val="006EC0"/>
        </w:rPr>
        <w:t xml:space="preserve">et pour tous les salariés pour lesquels existent des </w:t>
      </w:r>
      <w:r w:rsidRPr="00B03C50">
        <w:rPr>
          <w:color w:val="006EC0"/>
        </w:rPr>
        <w:t>prescriptions médicales</w:t>
      </w:r>
      <w:r w:rsidR="003C5DF9" w:rsidRPr="00B03C50">
        <w:rPr>
          <w:color w:val="006EC0"/>
        </w:rPr>
        <w:t xml:space="preserve"> spécifiques</w:t>
      </w:r>
    </w:p>
    <w:p w14:paraId="58B2A7D4" w14:textId="146000E0" w:rsidR="00885878" w:rsidRPr="00885878" w:rsidRDefault="00885878" w:rsidP="009D0F9F">
      <w:pPr>
        <w:pStyle w:val="Paragraphedeliste"/>
        <w:numPr>
          <w:ilvl w:val="0"/>
          <w:numId w:val="1"/>
        </w:numPr>
        <w:tabs>
          <w:tab w:val="left" w:pos="836"/>
        </w:tabs>
        <w:spacing w:after="160"/>
        <w:ind w:left="476" w:right="119"/>
        <w:rPr>
          <w:color w:val="006EC0"/>
        </w:rPr>
      </w:pPr>
      <w:r w:rsidRPr="00885878">
        <w:rPr>
          <w:color w:val="006EC0"/>
        </w:rPr>
        <w:t xml:space="preserve">La mise à disposition </w:t>
      </w:r>
      <w:r w:rsidR="003C5DF9">
        <w:rPr>
          <w:color w:val="006EC0"/>
        </w:rPr>
        <w:t xml:space="preserve">du véhicule </w:t>
      </w:r>
      <w:r w:rsidRPr="00885878">
        <w:rPr>
          <w:color w:val="006EC0"/>
        </w:rPr>
        <w:t>pour la durée d</w:t>
      </w:r>
      <w:r w:rsidR="003C5DF9">
        <w:rPr>
          <w:color w:val="006EC0"/>
        </w:rPr>
        <w:t>u marché</w:t>
      </w:r>
      <w:r w:rsidRPr="00885878">
        <w:rPr>
          <w:color w:val="006EC0"/>
        </w:rPr>
        <w:t xml:space="preserve"> et non pour une année civile, quels que soient les kilomètres professionnels parcourus, avec la garantie du bénéfice d’un véhicule identique pour cette même durée pour les salariés ayant opté pour l’usage mixte</w:t>
      </w:r>
    </w:p>
    <w:p w14:paraId="58DD449C" w14:textId="330DD392" w:rsidR="00885878" w:rsidRPr="009A4B06" w:rsidRDefault="00885878" w:rsidP="009D0F9F">
      <w:pPr>
        <w:pStyle w:val="Paragraphedeliste"/>
        <w:numPr>
          <w:ilvl w:val="0"/>
          <w:numId w:val="1"/>
        </w:numPr>
        <w:tabs>
          <w:tab w:val="left" w:pos="836"/>
        </w:tabs>
        <w:spacing w:after="160"/>
        <w:ind w:left="476" w:right="119"/>
        <w:rPr>
          <w:color w:val="006EC0"/>
        </w:rPr>
      </w:pPr>
      <w:r w:rsidRPr="009A4B06">
        <w:rPr>
          <w:color w:val="006EC0"/>
        </w:rPr>
        <w:t>La suppression des menaces de sanctions disciplinaires pour des faits non fautifs, pour des faits non constitutifs d’une faute professionnelle et/ou ayant lieu en dehors du temps de travail</w:t>
      </w:r>
    </w:p>
    <w:p w14:paraId="3B9DF149" w14:textId="781B1231" w:rsidR="00885878" w:rsidRPr="00885878" w:rsidRDefault="00885878" w:rsidP="009D0F9F">
      <w:pPr>
        <w:pStyle w:val="Paragraphedeliste"/>
        <w:numPr>
          <w:ilvl w:val="0"/>
          <w:numId w:val="1"/>
        </w:numPr>
        <w:tabs>
          <w:tab w:val="left" w:pos="836"/>
        </w:tabs>
        <w:spacing w:after="160"/>
        <w:ind w:left="476" w:right="119"/>
        <w:rPr>
          <w:color w:val="006EC0"/>
        </w:rPr>
      </w:pPr>
      <w:r w:rsidRPr="00885878">
        <w:rPr>
          <w:color w:val="006EC0"/>
        </w:rPr>
        <w:t>La suppression de la discrimination des salariés malades ayant opté pour l’usage mixte consistant à leur retirer le bénéfice de l’usage de leur véhicule</w:t>
      </w:r>
      <w:r w:rsidR="00B00FF4">
        <w:rPr>
          <w:color w:val="006EC0"/>
        </w:rPr>
        <w:t xml:space="preserve"> dès lors que leur maintien de salaire n’est plus intégral</w:t>
      </w:r>
    </w:p>
    <w:p w14:paraId="30D5D6AF" w14:textId="4EB5BF93" w:rsidR="00885878" w:rsidRPr="00885878" w:rsidRDefault="00885878" w:rsidP="009D0F9F">
      <w:pPr>
        <w:pStyle w:val="Paragraphedeliste"/>
        <w:numPr>
          <w:ilvl w:val="0"/>
          <w:numId w:val="1"/>
        </w:numPr>
        <w:tabs>
          <w:tab w:val="left" w:pos="836"/>
        </w:tabs>
        <w:spacing w:after="160"/>
        <w:ind w:left="476" w:right="119"/>
        <w:rPr>
          <w:color w:val="006EC0"/>
        </w:rPr>
      </w:pPr>
      <w:r w:rsidRPr="00885878">
        <w:rPr>
          <w:color w:val="006EC0"/>
        </w:rPr>
        <w:t>La communication de l’ensemble des garanties d’assurance</w:t>
      </w:r>
      <w:r w:rsidR="00A83A7A">
        <w:rPr>
          <w:color w:val="006EC0"/>
        </w:rPr>
        <w:t xml:space="preserve"> et le rétablissement </w:t>
      </w:r>
      <w:r w:rsidR="00A83A7A" w:rsidRPr="001401E2">
        <w:rPr>
          <w:color w:val="006EC0"/>
        </w:rPr>
        <w:t>de</w:t>
      </w:r>
      <w:r w:rsidR="00A83A7A" w:rsidRPr="009D0F9F">
        <w:rPr>
          <w:color w:val="006EC0"/>
        </w:rPr>
        <w:t xml:space="preserve"> </w:t>
      </w:r>
      <w:r w:rsidR="00A83A7A" w:rsidRPr="001401E2">
        <w:rPr>
          <w:color w:val="006EC0"/>
        </w:rPr>
        <w:t>la</w:t>
      </w:r>
      <w:r w:rsidR="00A83A7A" w:rsidRPr="009D0F9F">
        <w:rPr>
          <w:color w:val="006EC0"/>
        </w:rPr>
        <w:t xml:space="preserve"> </w:t>
      </w:r>
      <w:r w:rsidR="00A83A7A" w:rsidRPr="001401E2">
        <w:rPr>
          <w:color w:val="006EC0"/>
        </w:rPr>
        <w:t>couverture</w:t>
      </w:r>
      <w:r w:rsidR="00A83A7A" w:rsidRPr="009D0F9F">
        <w:rPr>
          <w:color w:val="006EC0"/>
        </w:rPr>
        <w:t xml:space="preserve"> </w:t>
      </w:r>
      <w:r w:rsidR="00A83A7A" w:rsidRPr="001401E2">
        <w:rPr>
          <w:color w:val="006EC0"/>
        </w:rPr>
        <w:t>des</w:t>
      </w:r>
      <w:r w:rsidR="00A83A7A" w:rsidRPr="009D0F9F">
        <w:rPr>
          <w:color w:val="006EC0"/>
        </w:rPr>
        <w:t xml:space="preserve"> </w:t>
      </w:r>
      <w:r w:rsidR="00A83A7A" w:rsidRPr="001401E2">
        <w:rPr>
          <w:color w:val="006EC0"/>
        </w:rPr>
        <w:t>effets</w:t>
      </w:r>
      <w:r w:rsidR="00A83A7A" w:rsidRPr="009D0F9F">
        <w:rPr>
          <w:color w:val="006EC0"/>
        </w:rPr>
        <w:t xml:space="preserve"> </w:t>
      </w:r>
      <w:r w:rsidR="00A83A7A" w:rsidRPr="001401E2">
        <w:rPr>
          <w:color w:val="006EC0"/>
        </w:rPr>
        <w:t>personnels</w:t>
      </w:r>
    </w:p>
    <w:p w14:paraId="3E806630" w14:textId="2F47194B" w:rsidR="00D6139E" w:rsidRPr="00D6139E" w:rsidRDefault="00885878" w:rsidP="00FB03EF">
      <w:pPr>
        <w:pStyle w:val="Paragraphedeliste"/>
        <w:numPr>
          <w:ilvl w:val="0"/>
          <w:numId w:val="1"/>
        </w:numPr>
        <w:tabs>
          <w:tab w:val="left" w:pos="836"/>
        </w:tabs>
        <w:spacing w:after="160"/>
        <w:ind w:left="476" w:right="119"/>
        <w:rPr>
          <w:i/>
          <w:iCs/>
          <w:color w:val="006EC0"/>
          <w:u w:val="single"/>
        </w:rPr>
      </w:pPr>
      <w:r w:rsidRPr="00D6139E">
        <w:rPr>
          <w:color w:val="006EC0"/>
        </w:rPr>
        <w:t xml:space="preserve">L’appréciation du franchissement des 15 000 kilomètres </w:t>
      </w:r>
      <w:r w:rsidR="00A83A7A" w:rsidRPr="00D6139E">
        <w:rPr>
          <w:color w:val="006EC0"/>
        </w:rPr>
        <w:t xml:space="preserve">personnels </w:t>
      </w:r>
      <w:r w:rsidRPr="00D6139E">
        <w:rPr>
          <w:color w:val="006EC0"/>
        </w:rPr>
        <w:t>annuels</w:t>
      </w:r>
      <w:r w:rsidR="00D9727B">
        <w:rPr>
          <w:color w:val="006EC0"/>
        </w:rPr>
        <w:t xml:space="preserve"> </w:t>
      </w:r>
      <w:r w:rsidRPr="00D6139E">
        <w:rPr>
          <w:color w:val="006EC0"/>
        </w:rPr>
        <w:t xml:space="preserve">réalisés à titre privé, </w:t>
      </w:r>
      <w:r w:rsidR="00D9727B">
        <w:rPr>
          <w:color w:val="006EC0"/>
        </w:rPr>
        <w:t xml:space="preserve">applicable actuellement aux véhicules thermiques, </w:t>
      </w:r>
      <w:r w:rsidR="00A83A7A" w:rsidRPr="00D6139E">
        <w:rPr>
          <w:color w:val="006EC0"/>
        </w:rPr>
        <w:t xml:space="preserve">sur la totalité du marché </w:t>
      </w:r>
      <w:r w:rsidRPr="00D6139E">
        <w:rPr>
          <w:color w:val="006EC0"/>
        </w:rPr>
        <w:t>et non par année civile</w:t>
      </w:r>
      <w:r w:rsidR="00D6139E" w:rsidRPr="00D6139E">
        <w:rPr>
          <w:color w:val="006EC0"/>
        </w:rPr>
        <w:t>.</w:t>
      </w:r>
      <w:r w:rsidRPr="00D6139E">
        <w:rPr>
          <w:color w:val="006EC0"/>
        </w:rPr>
        <w:t xml:space="preserve"> </w:t>
      </w:r>
    </w:p>
    <w:p w14:paraId="45DFF764" w14:textId="77777777" w:rsidR="00AE0014" w:rsidRDefault="00000000" w:rsidP="00376E2D">
      <w:pPr>
        <w:pStyle w:val="Corpsdetexte"/>
        <w:ind w:left="116"/>
        <w:jc w:val="both"/>
        <w:rPr>
          <w:b/>
          <w:bCs/>
          <w:color w:val="006EC0"/>
          <w:spacing w:val="-2"/>
          <w:sz w:val="22"/>
          <w:szCs w:val="22"/>
        </w:rPr>
      </w:pPr>
      <w:r w:rsidRPr="009D0F9F">
        <w:rPr>
          <w:b/>
          <w:bCs/>
          <w:color w:val="006EC0"/>
          <w:sz w:val="22"/>
          <w:szCs w:val="22"/>
        </w:rPr>
        <w:t>La</w:t>
      </w:r>
      <w:r w:rsidRPr="009D0F9F">
        <w:rPr>
          <w:b/>
          <w:bCs/>
          <w:color w:val="006EC0"/>
          <w:spacing w:val="-3"/>
          <w:sz w:val="22"/>
          <w:szCs w:val="22"/>
        </w:rPr>
        <w:t xml:space="preserve"> </w:t>
      </w:r>
      <w:r w:rsidRPr="009D0F9F">
        <w:rPr>
          <w:b/>
          <w:bCs/>
          <w:color w:val="006EC0"/>
          <w:sz w:val="22"/>
          <w:szCs w:val="22"/>
        </w:rPr>
        <w:t>CPP</w:t>
      </w:r>
      <w:r w:rsidRPr="009D0F9F">
        <w:rPr>
          <w:b/>
          <w:bCs/>
          <w:color w:val="006EC0"/>
          <w:spacing w:val="-2"/>
          <w:sz w:val="22"/>
          <w:szCs w:val="22"/>
        </w:rPr>
        <w:t xml:space="preserve"> </w:t>
      </w:r>
      <w:r w:rsidRPr="009D0F9F">
        <w:rPr>
          <w:b/>
          <w:bCs/>
          <w:color w:val="006EC0"/>
          <w:sz w:val="22"/>
          <w:szCs w:val="22"/>
        </w:rPr>
        <w:t>des</w:t>
      </w:r>
      <w:r w:rsidRPr="009D0F9F">
        <w:rPr>
          <w:b/>
          <w:bCs/>
          <w:color w:val="006EC0"/>
          <w:spacing w:val="-1"/>
          <w:sz w:val="22"/>
          <w:szCs w:val="22"/>
        </w:rPr>
        <w:t xml:space="preserve"> </w:t>
      </w:r>
      <w:r w:rsidRPr="009D0F9F">
        <w:rPr>
          <w:b/>
          <w:bCs/>
          <w:color w:val="006EC0"/>
          <w:sz w:val="22"/>
          <w:szCs w:val="22"/>
        </w:rPr>
        <w:t>ACERC mandate</w:t>
      </w:r>
      <w:r w:rsidRPr="009D0F9F">
        <w:rPr>
          <w:b/>
          <w:bCs/>
          <w:color w:val="006EC0"/>
          <w:spacing w:val="-1"/>
          <w:sz w:val="22"/>
          <w:szCs w:val="22"/>
        </w:rPr>
        <w:t xml:space="preserve"> </w:t>
      </w:r>
      <w:r w:rsidRPr="009D0F9F">
        <w:rPr>
          <w:b/>
          <w:bCs/>
          <w:color w:val="006EC0"/>
          <w:sz w:val="22"/>
          <w:szCs w:val="22"/>
        </w:rPr>
        <w:t>le Bureau</w:t>
      </w:r>
      <w:r w:rsidRPr="009D0F9F">
        <w:rPr>
          <w:b/>
          <w:bCs/>
          <w:color w:val="006EC0"/>
          <w:spacing w:val="-3"/>
          <w:sz w:val="22"/>
          <w:szCs w:val="22"/>
        </w:rPr>
        <w:t xml:space="preserve"> </w:t>
      </w:r>
      <w:r w:rsidRPr="009D0F9F">
        <w:rPr>
          <w:b/>
          <w:bCs/>
          <w:color w:val="006EC0"/>
          <w:sz w:val="22"/>
          <w:szCs w:val="22"/>
        </w:rPr>
        <w:t>National</w:t>
      </w:r>
      <w:r w:rsidRPr="009D0F9F">
        <w:rPr>
          <w:b/>
          <w:bCs/>
          <w:color w:val="006EC0"/>
          <w:spacing w:val="-1"/>
          <w:sz w:val="22"/>
          <w:szCs w:val="22"/>
        </w:rPr>
        <w:t xml:space="preserve"> </w:t>
      </w:r>
      <w:r w:rsidRPr="009D0F9F">
        <w:rPr>
          <w:b/>
          <w:bCs/>
          <w:color w:val="006EC0"/>
          <w:sz w:val="22"/>
          <w:szCs w:val="22"/>
        </w:rPr>
        <w:t>et</w:t>
      </w:r>
      <w:r w:rsidRPr="009D0F9F">
        <w:rPr>
          <w:b/>
          <w:bCs/>
          <w:color w:val="006EC0"/>
          <w:spacing w:val="1"/>
          <w:sz w:val="22"/>
          <w:szCs w:val="22"/>
        </w:rPr>
        <w:t xml:space="preserve"> </w:t>
      </w:r>
      <w:r w:rsidRPr="009D0F9F">
        <w:rPr>
          <w:b/>
          <w:bCs/>
          <w:color w:val="006EC0"/>
          <w:sz w:val="22"/>
          <w:szCs w:val="22"/>
        </w:rPr>
        <w:t>son Secrétaire</w:t>
      </w:r>
      <w:r w:rsidRPr="009D0F9F">
        <w:rPr>
          <w:b/>
          <w:bCs/>
          <w:color w:val="006EC0"/>
          <w:spacing w:val="-2"/>
          <w:sz w:val="22"/>
          <w:szCs w:val="22"/>
        </w:rPr>
        <w:t xml:space="preserve"> </w:t>
      </w:r>
      <w:r w:rsidRPr="009D0F9F">
        <w:rPr>
          <w:b/>
          <w:bCs/>
          <w:color w:val="006EC0"/>
          <w:sz w:val="22"/>
          <w:szCs w:val="22"/>
        </w:rPr>
        <w:t>Général</w:t>
      </w:r>
      <w:r w:rsidRPr="009D0F9F">
        <w:rPr>
          <w:b/>
          <w:bCs/>
          <w:color w:val="006EC0"/>
          <w:spacing w:val="-1"/>
          <w:sz w:val="22"/>
          <w:szCs w:val="22"/>
        </w:rPr>
        <w:t xml:space="preserve"> </w:t>
      </w:r>
      <w:r w:rsidRPr="009D0F9F">
        <w:rPr>
          <w:b/>
          <w:bCs/>
          <w:color w:val="006EC0"/>
          <w:sz w:val="22"/>
          <w:szCs w:val="22"/>
        </w:rPr>
        <w:t>pour intervenir auprès</w:t>
      </w:r>
      <w:r w:rsidRPr="009D0F9F">
        <w:rPr>
          <w:b/>
          <w:bCs/>
          <w:color w:val="006EC0"/>
          <w:spacing w:val="-1"/>
          <w:sz w:val="22"/>
          <w:szCs w:val="22"/>
        </w:rPr>
        <w:t xml:space="preserve"> </w:t>
      </w:r>
      <w:r w:rsidRPr="009D0F9F">
        <w:rPr>
          <w:b/>
          <w:bCs/>
          <w:color w:val="006EC0"/>
          <w:sz w:val="22"/>
          <w:szCs w:val="22"/>
        </w:rPr>
        <w:t>de</w:t>
      </w:r>
      <w:r w:rsidRPr="009D0F9F">
        <w:rPr>
          <w:b/>
          <w:bCs/>
          <w:color w:val="006EC0"/>
          <w:spacing w:val="1"/>
          <w:sz w:val="22"/>
          <w:szCs w:val="22"/>
        </w:rPr>
        <w:t xml:space="preserve"> </w:t>
      </w:r>
      <w:r w:rsidRPr="009D0F9F">
        <w:rPr>
          <w:b/>
          <w:bCs/>
          <w:color w:val="006EC0"/>
          <w:spacing w:val="-2"/>
          <w:sz w:val="22"/>
          <w:szCs w:val="22"/>
        </w:rPr>
        <w:t>toutes</w:t>
      </w:r>
      <w:r w:rsidR="001401E2" w:rsidRPr="009D0F9F">
        <w:rPr>
          <w:b/>
          <w:bCs/>
          <w:color w:val="006EC0"/>
          <w:spacing w:val="-2"/>
          <w:sz w:val="22"/>
          <w:szCs w:val="22"/>
        </w:rPr>
        <w:t xml:space="preserve"> </w:t>
      </w:r>
      <w:r w:rsidRPr="009D0F9F">
        <w:rPr>
          <w:b/>
          <w:bCs/>
          <w:color w:val="006EC0"/>
          <w:sz w:val="22"/>
          <w:szCs w:val="22"/>
        </w:rPr>
        <w:t>les</w:t>
      </w:r>
      <w:r w:rsidRPr="009D0F9F">
        <w:rPr>
          <w:b/>
          <w:bCs/>
          <w:color w:val="006EC0"/>
          <w:spacing w:val="-8"/>
          <w:sz w:val="22"/>
          <w:szCs w:val="22"/>
        </w:rPr>
        <w:t xml:space="preserve"> </w:t>
      </w:r>
      <w:r w:rsidRPr="009D0F9F">
        <w:rPr>
          <w:b/>
          <w:bCs/>
          <w:color w:val="006EC0"/>
          <w:sz w:val="22"/>
          <w:szCs w:val="22"/>
        </w:rPr>
        <w:t>instances</w:t>
      </w:r>
      <w:r w:rsidRPr="009D0F9F">
        <w:rPr>
          <w:b/>
          <w:bCs/>
          <w:color w:val="006EC0"/>
          <w:spacing w:val="-6"/>
          <w:sz w:val="22"/>
          <w:szCs w:val="22"/>
        </w:rPr>
        <w:t xml:space="preserve"> </w:t>
      </w:r>
      <w:r w:rsidRPr="009D0F9F">
        <w:rPr>
          <w:b/>
          <w:bCs/>
          <w:color w:val="006EC0"/>
          <w:sz w:val="22"/>
          <w:szCs w:val="22"/>
        </w:rPr>
        <w:t>nationales</w:t>
      </w:r>
      <w:r w:rsidRPr="009D0F9F">
        <w:rPr>
          <w:b/>
          <w:bCs/>
          <w:color w:val="006EC0"/>
          <w:spacing w:val="-6"/>
          <w:sz w:val="22"/>
          <w:szCs w:val="22"/>
        </w:rPr>
        <w:t xml:space="preserve"> </w:t>
      </w:r>
      <w:r w:rsidRPr="009D0F9F">
        <w:rPr>
          <w:b/>
          <w:bCs/>
          <w:color w:val="006EC0"/>
          <w:sz w:val="22"/>
          <w:szCs w:val="22"/>
        </w:rPr>
        <w:t>afin</w:t>
      </w:r>
      <w:r w:rsidRPr="009D0F9F">
        <w:rPr>
          <w:b/>
          <w:bCs/>
          <w:color w:val="006EC0"/>
          <w:spacing w:val="-7"/>
          <w:sz w:val="22"/>
          <w:szCs w:val="22"/>
        </w:rPr>
        <w:t xml:space="preserve"> </w:t>
      </w:r>
      <w:r w:rsidRPr="009D0F9F">
        <w:rPr>
          <w:b/>
          <w:bCs/>
          <w:color w:val="006EC0"/>
          <w:sz w:val="22"/>
          <w:szCs w:val="22"/>
        </w:rPr>
        <w:t>de</w:t>
      </w:r>
      <w:r w:rsidRPr="009D0F9F">
        <w:rPr>
          <w:b/>
          <w:bCs/>
          <w:color w:val="006EC0"/>
          <w:spacing w:val="-5"/>
          <w:sz w:val="22"/>
          <w:szCs w:val="22"/>
        </w:rPr>
        <w:t xml:space="preserve"> </w:t>
      </w:r>
      <w:r w:rsidRPr="009D0F9F">
        <w:rPr>
          <w:b/>
          <w:bCs/>
          <w:color w:val="006EC0"/>
          <w:sz w:val="22"/>
          <w:szCs w:val="22"/>
        </w:rPr>
        <w:t>faire</w:t>
      </w:r>
      <w:r w:rsidRPr="009D0F9F">
        <w:rPr>
          <w:b/>
          <w:bCs/>
          <w:color w:val="006EC0"/>
          <w:spacing w:val="-5"/>
          <w:sz w:val="22"/>
          <w:szCs w:val="22"/>
        </w:rPr>
        <w:t xml:space="preserve"> </w:t>
      </w:r>
      <w:r w:rsidRPr="009D0F9F">
        <w:rPr>
          <w:b/>
          <w:bCs/>
          <w:color w:val="006EC0"/>
          <w:sz w:val="22"/>
          <w:szCs w:val="22"/>
        </w:rPr>
        <w:t>aboutir</w:t>
      </w:r>
      <w:r w:rsidRPr="009D0F9F">
        <w:rPr>
          <w:b/>
          <w:bCs/>
          <w:color w:val="006EC0"/>
          <w:spacing w:val="-5"/>
          <w:sz w:val="22"/>
          <w:szCs w:val="22"/>
        </w:rPr>
        <w:t xml:space="preserve"> </w:t>
      </w:r>
      <w:r w:rsidRPr="009D0F9F">
        <w:rPr>
          <w:b/>
          <w:bCs/>
          <w:color w:val="006EC0"/>
          <w:sz w:val="22"/>
          <w:szCs w:val="22"/>
        </w:rPr>
        <w:t>l’ensemble</w:t>
      </w:r>
      <w:r w:rsidRPr="009D0F9F">
        <w:rPr>
          <w:b/>
          <w:bCs/>
          <w:color w:val="006EC0"/>
          <w:spacing w:val="-6"/>
          <w:sz w:val="22"/>
          <w:szCs w:val="22"/>
        </w:rPr>
        <w:t xml:space="preserve"> </w:t>
      </w:r>
      <w:r w:rsidRPr="009D0F9F">
        <w:rPr>
          <w:b/>
          <w:bCs/>
          <w:color w:val="006EC0"/>
          <w:sz w:val="22"/>
          <w:szCs w:val="22"/>
        </w:rPr>
        <w:t>de</w:t>
      </w:r>
      <w:r w:rsidRPr="009D0F9F">
        <w:rPr>
          <w:b/>
          <w:bCs/>
          <w:color w:val="006EC0"/>
          <w:spacing w:val="-5"/>
          <w:sz w:val="22"/>
          <w:szCs w:val="22"/>
        </w:rPr>
        <w:t xml:space="preserve"> </w:t>
      </w:r>
      <w:r w:rsidRPr="009D0F9F">
        <w:rPr>
          <w:b/>
          <w:bCs/>
          <w:color w:val="006EC0"/>
          <w:sz w:val="22"/>
          <w:szCs w:val="22"/>
        </w:rPr>
        <w:t>ces</w:t>
      </w:r>
      <w:r w:rsidRPr="009D0F9F">
        <w:rPr>
          <w:b/>
          <w:bCs/>
          <w:color w:val="006EC0"/>
          <w:spacing w:val="-7"/>
          <w:sz w:val="22"/>
          <w:szCs w:val="22"/>
        </w:rPr>
        <w:t xml:space="preserve"> </w:t>
      </w:r>
      <w:r w:rsidRPr="009D0F9F">
        <w:rPr>
          <w:b/>
          <w:bCs/>
          <w:color w:val="006EC0"/>
          <w:spacing w:val="-2"/>
          <w:sz w:val="22"/>
          <w:szCs w:val="22"/>
        </w:rPr>
        <w:t>revendications.</w:t>
      </w:r>
    </w:p>
    <w:p w14:paraId="12D09B4C" w14:textId="77777777" w:rsidR="00AE0014" w:rsidRDefault="00AE0014" w:rsidP="00376E2D">
      <w:pPr>
        <w:pStyle w:val="Corpsdetexte"/>
        <w:ind w:left="116"/>
        <w:jc w:val="both"/>
        <w:rPr>
          <w:b/>
          <w:bCs/>
          <w:color w:val="006EC0"/>
          <w:spacing w:val="-2"/>
          <w:sz w:val="22"/>
          <w:szCs w:val="22"/>
        </w:rPr>
      </w:pPr>
    </w:p>
    <w:p w14:paraId="76308C1B" w14:textId="77777777" w:rsidR="00AE0014" w:rsidRDefault="00AE0014" w:rsidP="00376E2D">
      <w:pPr>
        <w:pStyle w:val="Corpsdetexte"/>
        <w:ind w:left="116"/>
        <w:jc w:val="both"/>
        <w:rPr>
          <w:b/>
          <w:bCs/>
          <w:color w:val="006EC0"/>
          <w:spacing w:val="-2"/>
          <w:sz w:val="22"/>
          <w:szCs w:val="22"/>
        </w:rPr>
      </w:pPr>
    </w:p>
    <w:p w14:paraId="1ECB9946" w14:textId="77777777" w:rsidR="00F25AB8" w:rsidRDefault="00F25AB8">
      <w:pPr>
        <w:pStyle w:val="Titre1"/>
        <w:ind w:left="5" w:right="5"/>
        <w:jc w:val="center"/>
        <w:rPr>
          <w:rFonts w:ascii="Calibri Light" w:hAnsi="Calibri Light"/>
          <w:color w:val="5B9BD3"/>
          <w:spacing w:val="-2"/>
          <w:sz w:val="32"/>
          <w:szCs w:val="32"/>
        </w:rPr>
      </w:pPr>
    </w:p>
    <w:p w14:paraId="0E91C436" w14:textId="77777777" w:rsidR="00376E2D" w:rsidRDefault="00376E2D" w:rsidP="00376E2D">
      <w:pPr>
        <w:pStyle w:val="Corpsdetexte"/>
        <w:ind w:left="370"/>
        <w:rPr>
          <w:rFonts w:ascii="Times New Roman"/>
          <w:sz w:val="20"/>
        </w:rPr>
      </w:pPr>
      <w:r>
        <w:rPr>
          <w:rFonts w:ascii="Times New Roman"/>
          <w:noProof/>
          <w:sz w:val="20"/>
        </w:rPr>
        <w:drawing>
          <wp:inline distT="0" distB="0" distL="0" distR="0" wp14:anchorId="7CAC9807" wp14:editId="045134A4">
            <wp:extent cx="5454748" cy="1175480"/>
            <wp:effectExtent l="0" t="0" r="0" b="0"/>
            <wp:docPr id="21575125" name="Image 21575125" descr="Une image contenant texte  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texte  Description générée automatiquement"/>
                    <pic:cNvPicPr/>
                  </pic:nvPicPr>
                  <pic:blipFill>
                    <a:blip r:embed="rId8" cstate="print"/>
                    <a:stretch>
                      <a:fillRect/>
                    </a:stretch>
                  </pic:blipFill>
                  <pic:spPr>
                    <a:xfrm>
                      <a:off x="0" y="0"/>
                      <a:ext cx="5454748" cy="1175480"/>
                    </a:xfrm>
                    <a:prstGeom prst="rect">
                      <a:avLst/>
                    </a:prstGeom>
                  </pic:spPr>
                </pic:pic>
              </a:graphicData>
            </a:graphic>
          </wp:inline>
        </w:drawing>
      </w:r>
    </w:p>
    <w:p w14:paraId="0920FE33" w14:textId="77777777" w:rsidR="00376E2D" w:rsidRDefault="00376E2D" w:rsidP="00376E2D">
      <w:pPr>
        <w:pStyle w:val="Titre"/>
        <w:rPr>
          <w:color w:val="FF0000"/>
          <w:spacing w:val="-4"/>
        </w:rPr>
      </w:pPr>
      <w:r>
        <w:rPr>
          <w:color w:val="FF0000"/>
          <w:spacing w:val="-4"/>
        </w:rPr>
        <w:t>XXIIème</w:t>
      </w:r>
      <w:r>
        <w:rPr>
          <w:color w:val="FF0000"/>
          <w:spacing w:val="-19"/>
        </w:rPr>
        <w:t xml:space="preserve"> </w:t>
      </w:r>
      <w:r>
        <w:rPr>
          <w:color w:val="FF0000"/>
          <w:spacing w:val="-4"/>
        </w:rPr>
        <w:t>congrès</w:t>
      </w:r>
      <w:r>
        <w:rPr>
          <w:color w:val="FF0000"/>
          <w:spacing w:val="-14"/>
        </w:rPr>
        <w:t xml:space="preserve"> </w:t>
      </w:r>
      <w:r>
        <w:rPr>
          <w:color w:val="FF0000"/>
          <w:spacing w:val="-4"/>
        </w:rPr>
        <w:t>du</w:t>
      </w:r>
      <w:r>
        <w:rPr>
          <w:color w:val="FF0000"/>
          <w:spacing w:val="-17"/>
        </w:rPr>
        <w:t xml:space="preserve"> </w:t>
      </w:r>
      <w:r>
        <w:rPr>
          <w:color w:val="FF0000"/>
          <w:spacing w:val="-4"/>
        </w:rPr>
        <w:t xml:space="preserve">SNFOCOS  </w:t>
      </w:r>
    </w:p>
    <w:p w14:paraId="51C48EF1" w14:textId="4546890A" w:rsidR="00376E2D" w:rsidRDefault="00376E2D" w:rsidP="00376E2D">
      <w:pPr>
        <w:ind w:left="5"/>
        <w:jc w:val="center"/>
        <w:rPr>
          <w:rFonts w:ascii="Calibri Light" w:hAnsi="Calibri Light"/>
          <w:sz w:val="36"/>
        </w:rPr>
      </w:pPr>
      <w:r>
        <w:rPr>
          <w:rFonts w:ascii="Calibri Light" w:hAnsi="Calibri Light"/>
          <w:color w:val="5B9BD3"/>
          <w:spacing w:val="-2"/>
          <w:sz w:val="36"/>
        </w:rPr>
        <w:t>Composition Commission</w:t>
      </w:r>
      <w:r>
        <w:rPr>
          <w:rFonts w:ascii="Calibri Light" w:hAnsi="Calibri Light"/>
          <w:color w:val="5B9BD3"/>
          <w:spacing w:val="-17"/>
          <w:sz w:val="36"/>
        </w:rPr>
        <w:t xml:space="preserve"> </w:t>
      </w:r>
      <w:r>
        <w:rPr>
          <w:rFonts w:ascii="Calibri Light" w:hAnsi="Calibri Light"/>
          <w:color w:val="5B9BD3"/>
          <w:spacing w:val="-2"/>
          <w:sz w:val="36"/>
        </w:rPr>
        <w:t>Permanente</w:t>
      </w:r>
      <w:r>
        <w:rPr>
          <w:rFonts w:ascii="Calibri Light" w:hAnsi="Calibri Light"/>
          <w:color w:val="5B9BD3"/>
          <w:spacing w:val="-18"/>
          <w:sz w:val="36"/>
        </w:rPr>
        <w:t xml:space="preserve"> </w:t>
      </w:r>
      <w:r>
        <w:rPr>
          <w:rFonts w:ascii="Calibri Light" w:hAnsi="Calibri Light"/>
          <w:color w:val="5B9BD3"/>
          <w:spacing w:val="-2"/>
          <w:sz w:val="36"/>
        </w:rPr>
        <w:t>Professionnelle</w:t>
      </w:r>
      <w:r>
        <w:rPr>
          <w:rFonts w:ascii="Calibri Light" w:hAnsi="Calibri Light"/>
          <w:color w:val="5B9BD3"/>
          <w:spacing w:val="-4"/>
          <w:sz w:val="36"/>
        </w:rPr>
        <w:t xml:space="preserve"> </w:t>
      </w:r>
      <w:r>
        <w:rPr>
          <w:rFonts w:ascii="Calibri Light" w:hAnsi="Calibri Light"/>
          <w:color w:val="5B9BD3"/>
          <w:spacing w:val="-2"/>
          <w:sz w:val="36"/>
        </w:rPr>
        <w:t>des ACERC</w:t>
      </w:r>
    </w:p>
    <w:p w14:paraId="0C633ABA" w14:textId="77777777" w:rsidR="00F25AB8" w:rsidRDefault="00F25AB8">
      <w:pPr>
        <w:pStyle w:val="Titre1"/>
        <w:ind w:left="5" w:right="5"/>
        <w:jc w:val="center"/>
        <w:rPr>
          <w:rFonts w:ascii="Calibri Light" w:hAnsi="Calibri Light"/>
          <w:color w:val="5B9BD3"/>
          <w:spacing w:val="-2"/>
          <w:sz w:val="32"/>
          <w:szCs w:val="32"/>
        </w:rPr>
      </w:pPr>
    </w:p>
    <w:p w14:paraId="64CD93A9" w14:textId="77777777" w:rsidR="0092368A" w:rsidRPr="009D0F9F" w:rsidRDefault="0092368A">
      <w:pPr>
        <w:pStyle w:val="Titre1"/>
        <w:ind w:left="5" w:right="5"/>
        <w:jc w:val="center"/>
        <w:rPr>
          <w:rFonts w:ascii="Calibri Light" w:hAnsi="Calibri Light"/>
          <w:color w:val="5B9BD3"/>
          <w:spacing w:val="-2"/>
          <w:sz w:val="32"/>
          <w:szCs w:val="32"/>
        </w:rPr>
      </w:pPr>
    </w:p>
    <w:p w14:paraId="42474380" w14:textId="77777777" w:rsidR="004209DA" w:rsidRDefault="00000000" w:rsidP="00376E2D">
      <w:pPr>
        <w:rPr>
          <w:rFonts w:ascii="Calibri Light" w:hAnsi="Calibri Light"/>
          <w:b/>
          <w:bCs/>
          <w:color w:val="5B9BD3"/>
          <w:spacing w:val="-2"/>
          <w:sz w:val="28"/>
          <w:szCs w:val="28"/>
        </w:rPr>
      </w:pPr>
      <w:r w:rsidRPr="00376E2D">
        <w:rPr>
          <w:rFonts w:ascii="Calibri Light" w:hAnsi="Calibri Light"/>
          <w:b/>
          <w:bCs/>
          <w:color w:val="5B9BD3"/>
          <w:spacing w:val="-2"/>
          <w:sz w:val="28"/>
          <w:szCs w:val="28"/>
        </w:rPr>
        <w:t>SECRETAIRE :</w:t>
      </w:r>
    </w:p>
    <w:p w14:paraId="42F55021" w14:textId="63B7B777" w:rsidR="004209DA" w:rsidRPr="00EF76F4" w:rsidRDefault="00000000" w:rsidP="009D0F9F">
      <w:pPr>
        <w:pStyle w:val="Corpsdetexte"/>
        <w:rPr>
          <w:sz w:val="22"/>
          <w:szCs w:val="22"/>
        </w:rPr>
      </w:pPr>
      <w:r w:rsidRPr="00EF76F4">
        <w:rPr>
          <w:color w:val="006EC0"/>
          <w:sz w:val="22"/>
          <w:szCs w:val="22"/>
        </w:rPr>
        <w:t>Serge</w:t>
      </w:r>
      <w:r w:rsidRPr="00EF76F4">
        <w:rPr>
          <w:color w:val="006EC0"/>
          <w:spacing w:val="-5"/>
          <w:sz w:val="22"/>
          <w:szCs w:val="22"/>
        </w:rPr>
        <w:t xml:space="preserve"> </w:t>
      </w:r>
      <w:r w:rsidRPr="00EF76F4">
        <w:rPr>
          <w:color w:val="006EC0"/>
          <w:sz w:val="22"/>
          <w:szCs w:val="22"/>
        </w:rPr>
        <w:t>PHILIPPE</w:t>
      </w:r>
      <w:r w:rsidRPr="00EF76F4">
        <w:rPr>
          <w:color w:val="006EC0"/>
          <w:spacing w:val="-6"/>
          <w:sz w:val="22"/>
          <w:szCs w:val="22"/>
        </w:rPr>
        <w:t xml:space="preserve"> </w:t>
      </w:r>
      <w:r w:rsidRPr="00EF76F4">
        <w:rPr>
          <w:color w:val="006EC0"/>
          <w:sz w:val="22"/>
          <w:szCs w:val="22"/>
        </w:rPr>
        <w:t>(Nord</w:t>
      </w:r>
      <w:r w:rsidRPr="00EF76F4">
        <w:rPr>
          <w:color w:val="006EC0"/>
          <w:spacing w:val="-5"/>
          <w:sz w:val="22"/>
          <w:szCs w:val="22"/>
        </w:rPr>
        <w:t xml:space="preserve"> </w:t>
      </w:r>
      <w:r w:rsidRPr="00EF76F4">
        <w:rPr>
          <w:color w:val="006EC0"/>
          <w:sz w:val="22"/>
          <w:szCs w:val="22"/>
        </w:rPr>
        <w:t>Pas</w:t>
      </w:r>
      <w:r w:rsidRPr="00EF76F4">
        <w:rPr>
          <w:color w:val="006EC0"/>
          <w:spacing w:val="-5"/>
          <w:sz w:val="22"/>
          <w:szCs w:val="22"/>
        </w:rPr>
        <w:t xml:space="preserve"> </w:t>
      </w:r>
      <w:r w:rsidRPr="00EF76F4">
        <w:rPr>
          <w:color w:val="006EC0"/>
          <w:sz w:val="22"/>
          <w:szCs w:val="22"/>
        </w:rPr>
        <w:t>de</w:t>
      </w:r>
      <w:r w:rsidRPr="00EF76F4">
        <w:rPr>
          <w:color w:val="006EC0"/>
          <w:spacing w:val="-4"/>
          <w:sz w:val="22"/>
          <w:szCs w:val="22"/>
        </w:rPr>
        <w:t xml:space="preserve"> </w:t>
      </w:r>
      <w:r w:rsidRPr="00EF76F4">
        <w:rPr>
          <w:color w:val="006EC0"/>
          <w:spacing w:val="-2"/>
          <w:sz w:val="22"/>
          <w:szCs w:val="22"/>
        </w:rPr>
        <w:t>Calais)</w:t>
      </w:r>
    </w:p>
    <w:p w14:paraId="580FD888" w14:textId="094A4D0C" w:rsidR="004209DA" w:rsidRDefault="00000000" w:rsidP="0092368A">
      <w:pPr>
        <w:spacing w:before="241"/>
        <w:rPr>
          <w:rFonts w:ascii="Calibri Light" w:hAnsi="Calibri Light"/>
          <w:b/>
          <w:bCs/>
          <w:color w:val="5B9BD3"/>
          <w:spacing w:val="-2"/>
          <w:sz w:val="28"/>
          <w:szCs w:val="28"/>
        </w:rPr>
      </w:pPr>
      <w:r w:rsidRPr="00376E2D">
        <w:rPr>
          <w:rFonts w:ascii="Calibri Light" w:hAnsi="Calibri Light"/>
          <w:b/>
          <w:bCs/>
          <w:color w:val="5B9BD3"/>
          <w:spacing w:val="-2"/>
          <w:sz w:val="28"/>
          <w:szCs w:val="28"/>
        </w:rPr>
        <w:t>MEMBRES DE LA CPP :</w:t>
      </w:r>
      <w:r w:rsidR="001401E2" w:rsidRPr="00376E2D">
        <w:rPr>
          <w:rFonts w:ascii="Calibri Light" w:hAnsi="Calibri Light"/>
          <w:b/>
          <w:bCs/>
          <w:color w:val="5B9BD3"/>
          <w:spacing w:val="-2"/>
          <w:sz w:val="28"/>
          <w:szCs w:val="28"/>
        </w:rPr>
        <w:t xml:space="preserve"> </w:t>
      </w:r>
    </w:p>
    <w:p w14:paraId="32855DA3" w14:textId="77777777" w:rsidR="009D0F9F" w:rsidRPr="009D0F9F" w:rsidRDefault="009D0F9F" w:rsidP="009D0F9F">
      <w:pPr>
        <w:pStyle w:val="Corpsdetexte"/>
        <w:rPr>
          <w:color w:val="006EC0"/>
          <w:sz w:val="22"/>
          <w:szCs w:val="22"/>
        </w:rPr>
      </w:pPr>
      <w:r w:rsidRPr="009D0F9F">
        <w:rPr>
          <w:color w:val="006EC0"/>
          <w:sz w:val="22"/>
          <w:szCs w:val="22"/>
        </w:rPr>
        <w:t>Laure BOUCHER GITON (Île de France)</w:t>
      </w:r>
    </w:p>
    <w:p w14:paraId="4165FD19" w14:textId="77777777" w:rsidR="009D0F9F" w:rsidRPr="009D0F9F" w:rsidRDefault="009D0F9F" w:rsidP="009D0F9F">
      <w:pPr>
        <w:pStyle w:val="Corpsdetexte"/>
        <w:rPr>
          <w:color w:val="006EC0"/>
          <w:sz w:val="22"/>
          <w:szCs w:val="22"/>
        </w:rPr>
      </w:pPr>
      <w:r w:rsidRPr="009D0F9F">
        <w:rPr>
          <w:color w:val="006EC0"/>
          <w:sz w:val="22"/>
          <w:szCs w:val="22"/>
        </w:rPr>
        <w:t>Aurore COUQUE (Bretagne)</w:t>
      </w:r>
    </w:p>
    <w:p w14:paraId="00AB7B7B" w14:textId="77777777" w:rsidR="009D0F9F" w:rsidRPr="009D0F9F" w:rsidRDefault="009D0F9F" w:rsidP="009D0F9F">
      <w:pPr>
        <w:pStyle w:val="Corpsdetexte"/>
        <w:rPr>
          <w:color w:val="006EC0"/>
          <w:sz w:val="22"/>
          <w:szCs w:val="22"/>
        </w:rPr>
      </w:pPr>
      <w:r w:rsidRPr="009D0F9F">
        <w:rPr>
          <w:color w:val="006EC0"/>
          <w:sz w:val="22"/>
          <w:szCs w:val="22"/>
        </w:rPr>
        <w:t>Cécile DARNEY (Languedoc Roussillon)</w:t>
      </w:r>
    </w:p>
    <w:p w14:paraId="4DACD787" w14:textId="77777777" w:rsidR="009D0F9F" w:rsidRPr="009D0F9F" w:rsidRDefault="009D0F9F" w:rsidP="009D0F9F">
      <w:pPr>
        <w:pStyle w:val="Corpsdetexte"/>
        <w:rPr>
          <w:color w:val="006EC0"/>
          <w:sz w:val="22"/>
          <w:szCs w:val="22"/>
        </w:rPr>
      </w:pPr>
      <w:r w:rsidRPr="009D0F9F">
        <w:rPr>
          <w:color w:val="006EC0"/>
          <w:sz w:val="22"/>
          <w:szCs w:val="22"/>
        </w:rPr>
        <w:t>Sabrina LE BLANC (Aquitaine)</w:t>
      </w:r>
    </w:p>
    <w:p w14:paraId="7AD53892" w14:textId="33E1E6A4" w:rsidR="009D0F9F" w:rsidRPr="00173BAA" w:rsidRDefault="009D0F9F" w:rsidP="009D0F9F">
      <w:pPr>
        <w:pStyle w:val="Corpsdetexte"/>
        <w:rPr>
          <w:color w:val="006EC0"/>
          <w:sz w:val="22"/>
          <w:szCs w:val="22"/>
        </w:rPr>
      </w:pPr>
      <w:r w:rsidRPr="00173BAA">
        <w:rPr>
          <w:color w:val="006EC0"/>
          <w:sz w:val="22"/>
          <w:szCs w:val="22"/>
        </w:rPr>
        <w:t>Cécile LE</w:t>
      </w:r>
      <w:r w:rsidR="006F683D" w:rsidRPr="00173BAA">
        <w:rPr>
          <w:color w:val="006EC0"/>
          <w:sz w:val="22"/>
          <w:szCs w:val="22"/>
        </w:rPr>
        <w:t>RM</w:t>
      </w:r>
      <w:r w:rsidRPr="00173BAA">
        <w:rPr>
          <w:color w:val="006EC0"/>
          <w:sz w:val="22"/>
          <w:szCs w:val="22"/>
        </w:rPr>
        <w:t>ECHIN (Grand Est)</w:t>
      </w:r>
      <w:r w:rsidR="006F683D" w:rsidRPr="00173BAA">
        <w:rPr>
          <w:color w:val="006EC0"/>
          <w:sz w:val="22"/>
          <w:szCs w:val="22"/>
        </w:rPr>
        <w:t xml:space="preserve"> </w:t>
      </w:r>
    </w:p>
    <w:p w14:paraId="60E83F3C" w14:textId="77777777" w:rsidR="009D0F9F" w:rsidRPr="009D0F9F" w:rsidRDefault="009D0F9F" w:rsidP="009D0F9F">
      <w:pPr>
        <w:pStyle w:val="Corpsdetexte"/>
        <w:rPr>
          <w:color w:val="006EC0"/>
          <w:sz w:val="22"/>
          <w:szCs w:val="22"/>
        </w:rPr>
      </w:pPr>
      <w:r w:rsidRPr="009D0F9F">
        <w:rPr>
          <w:color w:val="006EC0"/>
          <w:sz w:val="22"/>
          <w:szCs w:val="22"/>
        </w:rPr>
        <w:t>Anne MANDRA (Champagne Ardennes)</w:t>
      </w:r>
    </w:p>
    <w:p w14:paraId="48CEC6ED" w14:textId="77777777" w:rsidR="009D0F9F" w:rsidRPr="009D0F9F" w:rsidRDefault="009D0F9F" w:rsidP="009D0F9F">
      <w:pPr>
        <w:pStyle w:val="Corpsdetexte"/>
        <w:rPr>
          <w:color w:val="006EC0"/>
          <w:sz w:val="22"/>
          <w:szCs w:val="22"/>
        </w:rPr>
      </w:pPr>
      <w:r w:rsidRPr="009D0F9F">
        <w:rPr>
          <w:color w:val="006EC0"/>
          <w:sz w:val="22"/>
          <w:szCs w:val="22"/>
        </w:rPr>
        <w:t>Virginie MENDES (Île de France)</w:t>
      </w:r>
    </w:p>
    <w:p w14:paraId="3FB23BAD" w14:textId="77777777" w:rsidR="009D0F9F" w:rsidRPr="009D0F9F" w:rsidRDefault="009D0F9F" w:rsidP="009D0F9F">
      <w:pPr>
        <w:pStyle w:val="Corpsdetexte"/>
        <w:rPr>
          <w:color w:val="006EC0"/>
          <w:sz w:val="22"/>
          <w:szCs w:val="22"/>
        </w:rPr>
      </w:pPr>
      <w:r w:rsidRPr="009D0F9F">
        <w:rPr>
          <w:color w:val="006EC0"/>
          <w:sz w:val="22"/>
          <w:szCs w:val="22"/>
        </w:rPr>
        <w:t>Patrice MINATI (Provence Alpes Côte d’Azur)</w:t>
      </w:r>
    </w:p>
    <w:p w14:paraId="33A843ED" w14:textId="77777777" w:rsidR="009D0F9F" w:rsidRPr="009D0F9F" w:rsidRDefault="009D0F9F" w:rsidP="009D0F9F">
      <w:pPr>
        <w:pStyle w:val="Corpsdetexte"/>
        <w:rPr>
          <w:color w:val="006EC0"/>
          <w:sz w:val="22"/>
          <w:szCs w:val="22"/>
        </w:rPr>
      </w:pPr>
      <w:r w:rsidRPr="009D0F9F">
        <w:rPr>
          <w:color w:val="006EC0"/>
          <w:sz w:val="22"/>
          <w:szCs w:val="22"/>
        </w:rPr>
        <w:t>Sébastien ROUSSEAU (Bretagne)</w:t>
      </w:r>
    </w:p>
    <w:p w14:paraId="59429A09" w14:textId="77777777" w:rsidR="009D0F9F" w:rsidRPr="009D0F9F" w:rsidRDefault="009D0F9F" w:rsidP="009D0F9F">
      <w:pPr>
        <w:pStyle w:val="Corpsdetexte"/>
        <w:rPr>
          <w:color w:val="006EC0"/>
          <w:sz w:val="22"/>
          <w:szCs w:val="22"/>
        </w:rPr>
      </w:pPr>
      <w:r w:rsidRPr="009D0F9F">
        <w:rPr>
          <w:color w:val="006EC0"/>
          <w:sz w:val="22"/>
          <w:szCs w:val="22"/>
        </w:rPr>
        <w:t>Sophie RUEL (Normandie)</w:t>
      </w:r>
    </w:p>
    <w:p w14:paraId="44451247" w14:textId="6B1C3B49" w:rsidR="004209DA" w:rsidRDefault="009D0F9F" w:rsidP="009D0F9F">
      <w:pPr>
        <w:pStyle w:val="Corpsdetexte"/>
      </w:pPr>
      <w:r w:rsidRPr="009D0F9F">
        <w:rPr>
          <w:color w:val="006EC0"/>
          <w:sz w:val="22"/>
          <w:szCs w:val="22"/>
        </w:rPr>
        <w:t>Ludmilla SIMON (Normandie)</w:t>
      </w:r>
    </w:p>
    <w:p w14:paraId="28DB14DC" w14:textId="77777777" w:rsidR="004209DA" w:rsidRDefault="004209DA">
      <w:pPr>
        <w:pStyle w:val="Corpsdetexte"/>
        <w:spacing w:before="254"/>
      </w:pPr>
    </w:p>
    <w:sectPr w:rsidR="004209DA" w:rsidSect="00376E2D">
      <w:footerReference w:type="default" r:id="rId9"/>
      <w:pgSz w:w="11910" w:h="16840"/>
      <w:pgMar w:top="397"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73460" w14:textId="77777777" w:rsidR="00B207AA" w:rsidRDefault="00B207AA" w:rsidP="00FB03EF">
      <w:r>
        <w:separator/>
      </w:r>
    </w:p>
  </w:endnote>
  <w:endnote w:type="continuationSeparator" w:id="0">
    <w:p w14:paraId="7022D5D1" w14:textId="77777777" w:rsidR="00B207AA" w:rsidRDefault="00B207AA" w:rsidP="00FB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617B" w14:textId="1D5ED5C7" w:rsidR="009D6C32" w:rsidRDefault="009D6C32" w:rsidP="009D6C32">
    <w:pPr>
      <w:pStyle w:val="Pieddepage"/>
      <w:jc w:val="right"/>
    </w:pPr>
    <w:r w:rsidRPr="006A2B2C">
      <w:rPr>
        <w:color w:val="1F497D" w:themeColor="text2"/>
        <w:sz w:val="18"/>
        <w:szCs w:val="18"/>
      </w:rPr>
      <w:t>Résolution Commission Permanent</w:t>
    </w:r>
    <w:r>
      <w:rPr>
        <w:color w:val="1F497D" w:themeColor="text2"/>
        <w:sz w:val="18"/>
        <w:szCs w:val="18"/>
      </w:rPr>
      <w:t>e</w:t>
    </w:r>
    <w:r w:rsidRPr="006A2B2C">
      <w:rPr>
        <w:color w:val="1F497D" w:themeColor="text2"/>
        <w:sz w:val="18"/>
        <w:szCs w:val="18"/>
      </w:rPr>
      <w:t xml:space="preserve"> Professionnelle des ACERC - XXII CONGRES SNFOCOS – Septembre 2024</w:t>
    </w:r>
    <w:r>
      <w:rPr>
        <w:color w:val="1F497D" w:themeColor="text2"/>
        <w:sz w:val="18"/>
        <w:szCs w:val="18"/>
      </w:rPr>
      <w:t xml:space="preserve">                    </w:t>
    </w:r>
    <w:sdt>
      <w:sdtPr>
        <w:id w:val="260264983"/>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14:paraId="2349892B" w14:textId="4BA05F9C" w:rsidR="009D6C32" w:rsidRDefault="009D6C32" w:rsidP="009D6C32">
    <w:pPr>
      <w:pStyle w:val="Pieddepage"/>
      <w:jc w:val="center"/>
      <w:rPr>
        <w:color w:val="1F497D" w:themeColor="text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1B66E" w14:textId="77777777" w:rsidR="00B207AA" w:rsidRDefault="00B207AA" w:rsidP="00FB03EF">
      <w:r>
        <w:separator/>
      </w:r>
    </w:p>
  </w:footnote>
  <w:footnote w:type="continuationSeparator" w:id="0">
    <w:p w14:paraId="05A7B292" w14:textId="77777777" w:rsidR="00B207AA" w:rsidRDefault="00B207AA" w:rsidP="00FB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35D49"/>
    <w:multiLevelType w:val="hybridMultilevel"/>
    <w:tmpl w:val="EEC8343C"/>
    <w:lvl w:ilvl="0" w:tplc="46EC508C">
      <w:numFmt w:val="bullet"/>
      <w:lvlText w:val="-"/>
      <w:lvlJc w:val="left"/>
      <w:pPr>
        <w:ind w:left="644" w:hanging="360"/>
      </w:pPr>
      <w:rPr>
        <w:rFonts w:ascii="Times New Roman" w:eastAsia="Times New Roman" w:hAnsi="Times New Roman" w:cs="Times New Roman" w:hint="default"/>
        <w:b w:val="0"/>
        <w:bCs w:val="0"/>
        <w:i w:val="0"/>
        <w:iCs w:val="0"/>
        <w:color w:val="006EC0"/>
        <w:spacing w:val="0"/>
        <w:w w:val="100"/>
        <w:sz w:val="21"/>
        <w:szCs w:val="21"/>
        <w:lang w:val="fr-FR" w:eastAsia="en-US" w:bidi="ar-SA"/>
      </w:rPr>
    </w:lvl>
    <w:lvl w:ilvl="1" w:tplc="6D2CCDEA">
      <w:numFmt w:val="bullet"/>
      <w:lvlText w:val="•"/>
      <w:lvlJc w:val="left"/>
      <w:pPr>
        <w:ind w:left="1686" w:hanging="360"/>
      </w:pPr>
      <w:rPr>
        <w:rFonts w:hint="default"/>
        <w:lang w:val="fr-FR" w:eastAsia="en-US" w:bidi="ar-SA"/>
      </w:rPr>
    </w:lvl>
    <w:lvl w:ilvl="2" w:tplc="17BABAD0">
      <w:numFmt w:val="bullet"/>
      <w:lvlText w:val="•"/>
      <w:lvlJc w:val="left"/>
      <w:pPr>
        <w:ind w:left="2533" w:hanging="360"/>
      </w:pPr>
      <w:rPr>
        <w:rFonts w:hint="default"/>
        <w:lang w:val="fr-FR" w:eastAsia="en-US" w:bidi="ar-SA"/>
      </w:rPr>
    </w:lvl>
    <w:lvl w:ilvl="3" w:tplc="39480026">
      <w:numFmt w:val="bullet"/>
      <w:lvlText w:val="•"/>
      <w:lvlJc w:val="left"/>
      <w:pPr>
        <w:ind w:left="3379" w:hanging="360"/>
      </w:pPr>
      <w:rPr>
        <w:rFonts w:hint="default"/>
        <w:lang w:val="fr-FR" w:eastAsia="en-US" w:bidi="ar-SA"/>
      </w:rPr>
    </w:lvl>
    <w:lvl w:ilvl="4" w:tplc="0186A958">
      <w:numFmt w:val="bullet"/>
      <w:lvlText w:val="•"/>
      <w:lvlJc w:val="left"/>
      <w:pPr>
        <w:ind w:left="4226" w:hanging="360"/>
      </w:pPr>
      <w:rPr>
        <w:rFonts w:hint="default"/>
        <w:lang w:val="fr-FR" w:eastAsia="en-US" w:bidi="ar-SA"/>
      </w:rPr>
    </w:lvl>
    <w:lvl w:ilvl="5" w:tplc="41223346">
      <w:numFmt w:val="bullet"/>
      <w:lvlText w:val="•"/>
      <w:lvlJc w:val="left"/>
      <w:pPr>
        <w:ind w:left="5073" w:hanging="360"/>
      </w:pPr>
      <w:rPr>
        <w:rFonts w:hint="default"/>
        <w:lang w:val="fr-FR" w:eastAsia="en-US" w:bidi="ar-SA"/>
      </w:rPr>
    </w:lvl>
    <w:lvl w:ilvl="6" w:tplc="8398C5BE">
      <w:numFmt w:val="bullet"/>
      <w:lvlText w:val="•"/>
      <w:lvlJc w:val="left"/>
      <w:pPr>
        <w:ind w:left="5919" w:hanging="360"/>
      </w:pPr>
      <w:rPr>
        <w:rFonts w:hint="default"/>
        <w:lang w:val="fr-FR" w:eastAsia="en-US" w:bidi="ar-SA"/>
      </w:rPr>
    </w:lvl>
    <w:lvl w:ilvl="7" w:tplc="A90E0908">
      <w:numFmt w:val="bullet"/>
      <w:lvlText w:val="•"/>
      <w:lvlJc w:val="left"/>
      <w:pPr>
        <w:ind w:left="6766" w:hanging="360"/>
      </w:pPr>
      <w:rPr>
        <w:rFonts w:hint="default"/>
        <w:lang w:val="fr-FR" w:eastAsia="en-US" w:bidi="ar-SA"/>
      </w:rPr>
    </w:lvl>
    <w:lvl w:ilvl="8" w:tplc="F9A6197E">
      <w:numFmt w:val="bullet"/>
      <w:lvlText w:val="•"/>
      <w:lvlJc w:val="left"/>
      <w:pPr>
        <w:ind w:left="7613" w:hanging="360"/>
      </w:pPr>
      <w:rPr>
        <w:rFonts w:hint="default"/>
        <w:lang w:val="fr-FR" w:eastAsia="en-US" w:bidi="ar-SA"/>
      </w:rPr>
    </w:lvl>
  </w:abstractNum>
  <w:num w:numId="1" w16cid:durableId="128615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DA"/>
    <w:rsid w:val="0004437A"/>
    <w:rsid w:val="00046F9F"/>
    <w:rsid w:val="000762C5"/>
    <w:rsid w:val="000A177C"/>
    <w:rsid w:val="000B6291"/>
    <w:rsid w:val="000F5BA7"/>
    <w:rsid w:val="00122546"/>
    <w:rsid w:val="001401E2"/>
    <w:rsid w:val="001416BF"/>
    <w:rsid w:val="00173BAA"/>
    <w:rsid w:val="001C75B1"/>
    <w:rsid w:val="001D0B4F"/>
    <w:rsid w:val="001E4051"/>
    <w:rsid w:val="001F72DD"/>
    <w:rsid w:val="00204CC0"/>
    <w:rsid w:val="00207CCF"/>
    <w:rsid w:val="0025564C"/>
    <w:rsid w:val="00256B3F"/>
    <w:rsid w:val="002A7554"/>
    <w:rsid w:val="002B0C60"/>
    <w:rsid w:val="002E6DEB"/>
    <w:rsid w:val="00300F33"/>
    <w:rsid w:val="00331235"/>
    <w:rsid w:val="00376E2D"/>
    <w:rsid w:val="00385CBC"/>
    <w:rsid w:val="003A65B5"/>
    <w:rsid w:val="003C5DF9"/>
    <w:rsid w:val="003C78E7"/>
    <w:rsid w:val="003D404A"/>
    <w:rsid w:val="003D55BB"/>
    <w:rsid w:val="00401D98"/>
    <w:rsid w:val="004101A1"/>
    <w:rsid w:val="00411D8D"/>
    <w:rsid w:val="004209DA"/>
    <w:rsid w:val="00455AB7"/>
    <w:rsid w:val="004C129F"/>
    <w:rsid w:val="004D41B8"/>
    <w:rsid w:val="00514FC9"/>
    <w:rsid w:val="00522096"/>
    <w:rsid w:val="0052297E"/>
    <w:rsid w:val="00523F7F"/>
    <w:rsid w:val="00550935"/>
    <w:rsid w:val="0059190F"/>
    <w:rsid w:val="005C3DE5"/>
    <w:rsid w:val="0060005F"/>
    <w:rsid w:val="00610ED8"/>
    <w:rsid w:val="006263B1"/>
    <w:rsid w:val="006A2B2C"/>
    <w:rsid w:val="006F683D"/>
    <w:rsid w:val="00700B2D"/>
    <w:rsid w:val="00701180"/>
    <w:rsid w:val="00736228"/>
    <w:rsid w:val="00762A7E"/>
    <w:rsid w:val="00764A39"/>
    <w:rsid w:val="00766A74"/>
    <w:rsid w:val="007A5F96"/>
    <w:rsid w:val="007D3986"/>
    <w:rsid w:val="00836CEC"/>
    <w:rsid w:val="00874B5D"/>
    <w:rsid w:val="00885878"/>
    <w:rsid w:val="00901558"/>
    <w:rsid w:val="0092368A"/>
    <w:rsid w:val="00924059"/>
    <w:rsid w:val="00935C1B"/>
    <w:rsid w:val="009928DC"/>
    <w:rsid w:val="009A4B06"/>
    <w:rsid w:val="009C0842"/>
    <w:rsid w:val="009C220E"/>
    <w:rsid w:val="009D0F9F"/>
    <w:rsid w:val="009D6C32"/>
    <w:rsid w:val="00A204E8"/>
    <w:rsid w:val="00A460AB"/>
    <w:rsid w:val="00A714CF"/>
    <w:rsid w:val="00A83A7A"/>
    <w:rsid w:val="00A8766D"/>
    <w:rsid w:val="00AB0F9D"/>
    <w:rsid w:val="00AB7409"/>
    <w:rsid w:val="00AE0014"/>
    <w:rsid w:val="00B006E8"/>
    <w:rsid w:val="00B00FF4"/>
    <w:rsid w:val="00B03C50"/>
    <w:rsid w:val="00B110D1"/>
    <w:rsid w:val="00B207AA"/>
    <w:rsid w:val="00B648C1"/>
    <w:rsid w:val="00C20BBB"/>
    <w:rsid w:val="00C25899"/>
    <w:rsid w:val="00C30374"/>
    <w:rsid w:val="00C30C00"/>
    <w:rsid w:val="00C3202A"/>
    <w:rsid w:val="00C343BB"/>
    <w:rsid w:val="00C654DA"/>
    <w:rsid w:val="00C80B64"/>
    <w:rsid w:val="00C96581"/>
    <w:rsid w:val="00CD235F"/>
    <w:rsid w:val="00CE5DBE"/>
    <w:rsid w:val="00CF3799"/>
    <w:rsid w:val="00D05B42"/>
    <w:rsid w:val="00D6139E"/>
    <w:rsid w:val="00D85BD5"/>
    <w:rsid w:val="00D9727B"/>
    <w:rsid w:val="00DC077C"/>
    <w:rsid w:val="00E17429"/>
    <w:rsid w:val="00E21134"/>
    <w:rsid w:val="00E272E8"/>
    <w:rsid w:val="00E4457E"/>
    <w:rsid w:val="00E5366B"/>
    <w:rsid w:val="00E842A0"/>
    <w:rsid w:val="00EF2149"/>
    <w:rsid w:val="00EF76F4"/>
    <w:rsid w:val="00F25AB8"/>
    <w:rsid w:val="00F53BC4"/>
    <w:rsid w:val="00FB03EF"/>
    <w:rsid w:val="00FB05AB"/>
    <w:rsid w:val="00FB5474"/>
    <w:rsid w:val="00FB5600"/>
    <w:rsid w:val="00FE0849"/>
    <w:rsid w:val="00FE4E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03441"/>
  <w15:docId w15:val="{B57B0CD0-9AF9-49F3-9D75-9082ED4C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16"/>
      <w:outlineLvl w:val="0"/>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Titre">
    <w:name w:val="Title"/>
    <w:basedOn w:val="Normal"/>
    <w:uiPriority w:val="10"/>
    <w:qFormat/>
    <w:pPr>
      <w:spacing w:before="256"/>
      <w:ind w:left="5" w:right="5"/>
      <w:jc w:val="center"/>
    </w:pPr>
    <w:rPr>
      <w:rFonts w:ascii="Calibri Light" w:eastAsia="Calibri Light" w:hAnsi="Calibri Light" w:cs="Calibri Light"/>
      <w:sz w:val="44"/>
      <w:szCs w:val="44"/>
    </w:rPr>
  </w:style>
  <w:style w:type="paragraph" w:styleId="Paragraphedeliste">
    <w:name w:val="List Paragraph"/>
    <w:basedOn w:val="Normal"/>
    <w:uiPriority w:val="1"/>
    <w:qFormat/>
    <w:pPr>
      <w:spacing w:before="1"/>
      <w:ind w:left="836" w:right="116"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B03EF"/>
    <w:pPr>
      <w:tabs>
        <w:tab w:val="center" w:pos="4536"/>
        <w:tab w:val="right" w:pos="9072"/>
      </w:tabs>
    </w:pPr>
  </w:style>
  <w:style w:type="character" w:customStyle="1" w:styleId="En-tteCar">
    <w:name w:val="En-tête Car"/>
    <w:basedOn w:val="Policepardfaut"/>
    <w:link w:val="En-tte"/>
    <w:uiPriority w:val="99"/>
    <w:rsid w:val="00FB03EF"/>
    <w:rPr>
      <w:rFonts w:ascii="Calibri" w:eastAsia="Calibri" w:hAnsi="Calibri" w:cs="Calibri"/>
      <w:lang w:val="fr-FR"/>
    </w:rPr>
  </w:style>
  <w:style w:type="paragraph" w:styleId="Pieddepage">
    <w:name w:val="footer"/>
    <w:basedOn w:val="Normal"/>
    <w:link w:val="PieddepageCar"/>
    <w:uiPriority w:val="99"/>
    <w:unhideWhenUsed/>
    <w:rsid w:val="00FB03EF"/>
    <w:pPr>
      <w:tabs>
        <w:tab w:val="center" w:pos="4536"/>
        <w:tab w:val="right" w:pos="9072"/>
      </w:tabs>
    </w:pPr>
  </w:style>
  <w:style w:type="character" w:customStyle="1" w:styleId="PieddepageCar">
    <w:name w:val="Pied de page Car"/>
    <w:basedOn w:val="Policepardfaut"/>
    <w:link w:val="Pieddepage"/>
    <w:uiPriority w:val="99"/>
    <w:rsid w:val="00FB03EF"/>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F91E-DF2D-4317-8484-3161BC49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1095</Words>
  <Characters>6026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M@nue</dc:creator>
  <cp:lastModifiedBy>Manue Lalande</cp:lastModifiedBy>
  <cp:revision>6</cp:revision>
  <cp:lastPrinted>2024-08-30T12:47:00Z</cp:lastPrinted>
  <dcterms:created xsi:type="dcterms:W3CDTF">2024-09-26T08:54:00Z</dcterms:created>
  <dcterms:modified xsi:type="dcterms:W3CDTF">2024-09-27T09:05:00Z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pour Microsoft 365</vt:lpwstr>
  </property>
  <property fmtid="{D5CDD505-2E9C-101B-9397-08002B2CF9AE}" pid="4" name="LastSaved">
    <vt:filetime>2024-08-27T00:00:00Z</vt:filetime>
  </property>
  <property fmtid="{D5CDD505-2E9C-101B-9397-08002B2CF9AE}" pid="5" name="Producer">
    <vt:lpwstr>Microsoft® Word pour Microsoft 365</vt:lpwstr>
  </property>
</Properties>
</file>